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32" w:rsidRDefault="00BD2532" w:rsidP="004A7BA3">
      <w:pPr>
        <w:spacing w:after="0" w:line="480" w:lineRule="auto"/>
        <w:rPr>
          <w:rFonts w:ascii="Times New Roman" w:eastAsia="Times New Roman" w:hAnsi="Times New Roman" w:cs="Times New Roman"/>
          <w:sz w:val="24"/>
          <w:szCs w:val="24"/>
          <w:lang w:val="en"/>
        </w:rPr>
      </w:pPr>
      <w:bookmarkStart w:id="0" w:name="_GoBack"/>
      <w:bookmarkEnd w:id="0"/>
      <w:r>
        <w:rPr>
          <w:rFonts w:ascii="Times New Roman" w:eastAsia="Times New Roman" w:hAnsi="Times New Roman" w:cs="Times New Roman"/>
          <w:sz w:val="24"/>
          <w:szCs w:val="24"/>
          <w:lang w:val="en"/>
        </w:rPr>
        <w:t>Maureen Cunningham</w:t>
      </w:r>
    </w:p>
    <w:p w:rsidR="00BD2532" w:rsidRDefault="00BD2532" w:rsidP="004A7BA3">
      <w:pPr>
        <w:spacing w:after="0" w:line="48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ECI 508</w:t>
      </w:r>
    </w:p>
    <w:p w:rsidR="00BD2532" w:rsidRDefault="00BD2532" w:rsidP="004A7BA3">
      <w:pPr>
        <w:spacing w:after="0" w:line="48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Dr. Pope</w:t>
      </w:r>
    </w:p>
    <w:p w:rsidR="00BD2532" w:rsidRDefault="00BD2532" w:rsidP="004A7BA3">
      <w:pPr>
        <w:spacing w:after="0" w:line="48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26 April 2012</w:t>
      </w:r>
    </w:p>
    <w:p w:rsidR="00BD2532" w:rsidRDefault="00BD2532" w:rsidP="004A7BA3">
      <w:pPr>
        <w:spacing w:after="0" w:line="480" w:lineRule="auto"/>
        <w:rPr>
          <w:rFonts w:ascii="Times New Roman" w:eastAsia="Times New Roman" w:hAnsi="Times New Roman" w:cs="Times New Roman"/>
          <w:sz w:val="24"/>
          <w:szCs w:val="24"/>
          <w:lang w:val="en"/>
        </w:rPr>
      </w:pPr>
    </w:p>
    <w:p w:rsidR="00BD2532" w:rsidRDefault="00BD2532" w:rsidP="004A7BA3">
      <w:pPr>
        <w:spacing w:after="0" w:line="480"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Beyond Financial Aid: Assisting Students in Financial Need—</w:t>
      </w:r>
      <w:proofErr w:type="gramStart"/>
      <w:r>
        <w:rPr>
          <w:rFonts w:ascii="Times New Roman" w:eastAsia="Times New Roman" w:hAnsi="Times New Roman" w:cs="Times New Roman"/>
          <w:sz w:val="24"/>
          <w:szCs w:val="24"/>
          <w:lang w:val="en"/>
        </w:rPr>
        <w:t>A</w:t>
      </w:r>
      <w:proofErr w:type="gramEnd"/>
      <w:r>
        <w:rPr>
          <w:rFonts w:ascii="Times New Roman" w:eastAsia="Times New Roman" w:hAnsi="Times New Roman" w:cs="Times New Roman"/>
          <w:sz w:val="24"/>
          <w:szCs w:val="24"/>
          <w:lang w:val="en"/>
        </w:rPr>
        <w:t xml:space="preserve"> </w:t>
      </w:r>
      <w:r w:rsidR="0033558E">
        <w:rPr>
          <w:rFonts w:ascii="Times New Roman" w:eastAsia="Times New Roman" w:hAnsi="Times New Roman" w:cs="Times New Roman"/>
          <w:sz w:val="24"/>
          <w:szCs w:val="24"/>
          <w:lang w:val="en"/>
        </w:rPr>
        <w:t>Practical</w:t>
      </w:r>
      <w:r>
        <w:rPr>
          <w:rFonts w:ascii="Times New Roman" w:eastAsia="Times New Roman" w:hAnsi="Times New Roman" w:cs="Times New Roman"/>
          <w:sz w:val="24"/>
          <w:szCs w:val="24"/>
          <w:lang w:val="en"/>
        </w:rPr>
        <w:t xml:space="preserve"> </w:t>
      </w:r>
      <w:r w:rsidR="0033558E">
        <w:rPr>
          <w:rFonts w:ascii="Times New Roman" w:eastAsia="Times New Roman" w:hAnsi="Times New Roman" w:cs="Times New Roman"/>
          <w:sz w:val="24"/>
          <w:szCs w:val="24"/>
          <w:lang w:val="en"/>
        </w:rPr>
        <w:t>Solution</w:t>
      </w:r>
      <w:r>
        <w:rPr>
          <w:rFonts w:ascii="Times New Roman" w:eastAsia="Times New Roman" w:hAnsi="Times New Roman" w:cs="Times New Roman"/>
          <w:sz w:val="24"/>
          <w:szCs w:val="24"/>
          <w:lang w:val="en"/>
        </w:rPr>
        <w:t xml:space="preserve"> to Reduce the Attrition Rate in Community Colleges</w:t>
      </w:r>
    </w:p>
    <w:p w:rsidR="004A7BA3" w:rsidRDefault="004A7BA3" w:rsidP="004A7BA3">
      <w:pPr>
        <w:spacing w:after="0" w:line="480" w:lineRule="auto"/>
        <w:rPr>
          <w:rFonts w:ascii="Times New Roman" w:eastAsia="Times New Roman" w:hAnsi="Times New Roman" w:cs="Times New Roman"/>
          <w:sz w:val="24"/>
          <w:szCs w:val="24"/>
          <w:lang w:val="en"/>
        </w:rPr>
      </w:pPr>
    </w:p>
    <w:p w:rsidR="0005567F" w:rsidRDefault="00BD2532" w:rsidP="004A7BA3">
      <w:pPr>
        <w:spacing w:after="0" w:line="480" w:lineRule="auto"/>
        <w:ind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Numerous studies have been </w:t>
      </w:r>
      <w:r w:rsidR="00D20BFC">
        <w:rPr>
          <w:rFonts w:ascii="Times New Roman" w:eastAsia="Times New Roman" w:hAnsi="Times New Roman" w:cs="Times New Roman"/>
          <w:sz w:val="24"/>
          <w:szCs w:val="24"/>
          <w:lang w:val="en"/>
        </w:rPr>
        <w:t>conducted</w:t>
      </w:r>
      <w:r>
        <w:rPr>
          <w:rFonts w:ascii="Times New Roman" w:eastAsia="Times New Roman" w:hAnsi="Times New Roman" w:cs="Times New Roman"/>
          <w:sz w:val="24"/>
          <w:szCs w:val="24"/>
          <w:lang w:val="en"/>
        </w:rPr>
        <w:t xml:space="preserve"> in an effort to identify the reasons students drop out of community colleges. While a vast and complex body of data points to a variety of factors </w:t>
      </w:r>
      <w:r w:rsidR="00DE23D0">
        <w:rPr>
          <w:rFonts w:ascii="Times New Roman" w:eastAsia="Times New Roman" w:hAnsi="Times New Roman" w:cs="Times New Roman"/>
          <w:sz w:val="24"/>
          <w:szCs w:val="24"/>
          <w:lang w:val="en"/>
        </w:rPr>
        <w:t>attributing to</w:t>
      </w:r>
      <w:r>
        <w:rPr>
          <w:rFonts w:ascii="Times New Roman" w:eastAsia="Times New Roman" w:hAnsi="Times New Roman" w:cs="Times New Roman"/>
          <w:sz w:val="24"/>
          <w:szCs w:val="24"/>
          <w:lang w:val="en"/>
        </w:rPr>
        <w:t xml:space="preserve"> a h</w:t>
      </w:r>
      <w:r w:rsidR="00DE23D0">
        <w:rPr>
          <w:rFonts w:ascii="Times New Roman" w:eastAsia="Times New Roman" w:hAnsi="Times New Roman" w:cs="Times New Roman"/>
          <w:sz w:val="24"/>
          <w:szCs w:val="24"/>
          <w:lang w:val="en"/>
        </w:rPr>
        <w:t xml:space="preserve">igh attrition rate, one recurring factor </w:t>
      </w:r>
      <w:r>
        <w:rPr>
          <w:rFonts w:ascii="Times New Roman" w:eastAsia="Times New Roman" w:hAnsi="Times New Roman" w:cs="Times New Roman"/>
          <w:sz w:val="24"/>
          <w:szCs w:val="24"/>
          <w:lang w:val="en"/>
        </w:rPr>
        <w:t xml:space="preserve">is a lack of adequate resources to support students outside of </w:t>
      </w:r>
      <w:r w:rsidR="00A87D67">
        <w:rPr>
          <w:rFonts w:ascii="Times New Roman" w:eastAsia="Times New Roman" w:hAnsi="Times New Roman" w:cs="Times New Roman"/>
          <w:sz w:val="24"/>
          <w:szCs w:val="24"/>
          <w:lang w:val="en"/>
        </w:rPr>
        <w:t>academics</w:t>
      </w:r>
      <w:r>
        <w:rPr>
          <w:rFonts w:ascii="Times New Roman" w:eastAsia="Times New Roman" w:hAnsi="Times New Roman" w:cs="Times New Roman"/>
          <w:sz w:val="24"/>
          <w:szCs w:val="24"/>
          <w:lang w:val="en"/>
        </w:rPr>
        <w:t xml:space="preserve">.  While many financial programs exist to support students </w:t>
      </w:r>
      <w:r w:rsidR="00BF6E49">
        <w:rPr>
          <w:rFonts w:ascii="Times New Roman" w:eastAsia="Times New Roman" w:hAnsi="Times New Roman" w:cs="Times New Roman"/>
          <w:sz w:val="24"/>
          <w:szCs w:val="24"/>
          <w:lang w:val="en"/>
        </w:rPr>
        <w:t>directly with their educational expenditures</w:t>
      </w:r>
      <w:r>
        <w:rPr>
          <w:rFonts w:ascii="Times New Roman" w:eastAsia="Times New Roman" w:hAnsi="Times New Roman" w:cs="Times New Roman"/>
          <w:sz w:val="24"/>
          <w:szCs w:val="24"/>
          <w:lang w:val="en"/>
        </w:rPr>
        <w:t xml:space="preserve">, even an emergency fund </w:t>
      </w:r>
      <w:r w:rsidR="00867906">
        <w:rPr>
          <w:rFonts w:ascii="Times New Roman" w:eastAsia="Times New Roman" w:hAnsi="Times New Roman" w:cs="Times New Roman"/>
          <w:sz w:val="24"/>
          <w:szCs w:val="24"/>
          <w:lang w:val="en"/>
        </w:rPr>
        <w:t xml:space="preserve">(to be used </w:t>
      </w:r>
      <w:r w:rsidR="00BF6E49">
        <w:rPr>
          <w:rFonts w:ascii="Times New Roman" w:eastAsia="Times New Roman" w:hAnsi="Times New Roman" w:cs="Times New Roman"/>
          <w:sz w:val="24"/>
          <w:szCs w:val="24"/>
          <w:lang w:val="en"/>
        </w:rPr>
        <w:t xml:space="preserve">specifically </w:t>
      </w:r>
      <w:r w:rsidR="00867906">
        <w:rPr>
          <w:rFonts w:ascii="Times New Roman" w:eastAsia="Times New Roman" w:hAnsi="Times New Roman" w:cs="Times New Roman"/>
          <w:sz w:val="24"/>
          <w:szCs w:val="24"/>
          <w:lang w:val="en"/>
        </w:rPr>
        <w:t xml:space="preserve">for </w:t>
      </w:r>
      <w:r w:rsidR="00BF6E49">
        <w:rPr>
          <w:rFonts w:ascii="Times New Roman" w:eastAsia="Times New Roman" w:hAnsi="Times New Roman" w:cs="Times New Roman"/>
          <w:sz w:val="24"/>
          <w:szCs w:val="24"/>
          <w:lang w:val="en"/>
        </w:rPr>
        <w:t>doubtful accounts</w:t>
      </w:r>
      <w:r w:rsidR="00867906">
        <w:rPr>
          <w:rFonts w:ascii="Times New Roman" w:eastAsia="Times New Roman" w:hAnsi="Times New Roman" w:cs="Times New Roman"/>
          <w:sz w:val="24"/>
          <w:szCs w:val="24"/>
          <w:lang w:val="en"/>
        </w:rPr>
        <w:t xml:space="preserve">) and a </w:t>
      </w:r>
      <w:r w:rsidR="00BF6E49">
        <w:rPr>
          <w:rFonts w:ascii="Times New Roman" w:eastAsia="Times New Roman" w:hAnsi="Times New Roman" w:cs="Times New Roman"/>
          <w:sz w:val="24"/>
          <w:szCs w:val="24"/>
          <w:lang w:val="en"/>
        </w:rPr>
        <w:t xml:space="preserve">mediocre </w:t>
      </w:r>
      <w:r w:rsidR="00867906">
        <w:rPr>
          <w:rFonts w:ascii="Times New Roman" w:eastAsia="Times New Roman" w:hAnsi="Times New Roman" w:cs="Times New Roman"/>
          <w:sz w:val="24"/>
          <w:szCs w:val="24"/>
          <w:lang w:val="en"/>
        </w:rPr>
        <w:t xml:space="preserve">daycare grant, there </w:t>
      </w:r>
      <w:r w:rsidR="00BF6E49">
        <w:rPr>
          <w:rFonts w:ascii="Times New Roman" w:eastAsia="Times New Roman" w:hAnsi="Times New Roman" w:cs="Times New Roman"/>
          <w:sz w:val="24"/>
          <w:szCs w:val="24"/>
          <w:lang w:val="en"/>
        </w:rPr>
        <w:t>is currently no</w:t>
      </w:r>
      <w:r w:rsidR="00ED07BD">
        <w:rPr>
          <w:rFonts w:ascii="Times New Roman" w:eastAsia="Times New Roman" w:hAnsi="Times New Roman" w:cs="Times New Roman"/>
          <w:sz w:val="24"/>
          <w:szCs w:val="24"/>
          <w:lang w:val="en"/>
        </w:rPr>
        <w:t>t</w:t>
      </w:r>
      <w:r w:rsidR="00BF6E49">
        <w:rPr>
          <w:rFonts w:ascii="Times New Roman" w:eastAsia="Times New Roman" w:hAnsi="Times New Roman" w:cs="Times New Roman"/>
          <w:sz w:val="24"/>
          <w:szCs w:val="24"/>
          <w:lang w:val="en"/>
        </w:rPr>
        <w:t xml:space="preserve"> </w:t>
      </w:r>
      <w:r w:rsidR="00ED07BD">
        <w:rPr>
          <w:rFonts w:ascii="Times New Roman" w:eastAsia="Times New Roman" w:hAnsi="Times New Roman" w:cs="Times New Roman"/>
          <w:sz w:val="24"/>
          <w:szCs w:val="24"/>
          <w:lang w:val="en"/>
        </w:rPr>
        <w:t xml:space="preserve">a designated </w:t>
      </w:r>
      <w:r w:rsidR="00BF6E49">
        <w:rPr>
          <w:rFonts w:ascii="Times New Roman" w:eastAsia="Times New Roman" w:hAnsi="Times New Roman" w:cs="Times New Roman"/>
          <w:sz w:val="24"/>
          <w:szCs w:val="24"/>
          <w:lang w:val="en"/>
        </w:rPr>
        <w:t>program in place</w:t>
      </w:r>
      <w:r w:rsidR="00867906">
        <w:rPr>
          <w:rFonts w:ascii="Times New Roman" w:eastAsia="Times New Roman" w:hAnsi="Times New Roman" w:cs="Times New Roman"/>
          <w:sz w:val="24"/>
          <w:szCs w:val="24"/>
          <w:lang w:val="en"/>
        </w:rPr>
        <w:t xml:space="preserve"> available to help students with personal financial needs, such as transportation costs, medical expenses, and utility bills. The rationale for assisting students with these types of expenses is that these issues cause students to miss class frequently. </w:t>
      </w:r>
      <w:r w:rsidR="00E34AAC">
        <w:rPr>
          <w:rFonts w:ascii="Times New Roman" w:eastAsia="Times New Roman" w:hAnsi="Times New Roman" w:cs="Times New Roman"/>
          <w:sz w:val="24"/>
          <w:szCs w:val="24"/>
          <w:lang w:val="en"/>
        </w:rPr>
        <w:t xml:space="preserve">Students who have car trouble or do not have money for gas or public transportation cannot attend class regularly. Students </w:t>
      </w:r>
      <w:r w:rsidR="00BF6E49">
        <w:rPr>
          <w:rFonts w:ascii="Times New Roman" w:eastAsia="Times New Roman" w:hAnsi="Times New Roman" w:cs="Times New Roman"/>
          <w:sz w:val="24"/>
          <w:szCs w:val="24"/>
          <w:lang w:val="en"/>
        </w:rPr>
        <w:t>without</w:t>
      </w:r>
      <w:r w:rsidR="00E34AAC">
        <w:rPr>
          <w:rFonts w:ascii="Times New Roman" w:eastAsia="Times New Roman" w:hAnsi="Times New Roman" w:cs="Times New Roman"/>
          <w:sz w:val="24"/>
          <w:szCs w:val="24"/>
          <w:lang w:val="en"/>
        </w:rPr>
        <w:t xml:space="preserve"> health insurance </w:t>
      </w:r>
      <w:r w:rsidR="00BF6E49">
        <w:rPr>
          <w:rFonts w:ascii="Times New Roman" w:eastAsia="Times New Roman" w:hAnsi="Times New Roman" w:cs="Times New Roman"/>
          <w:sz w:val="24"/>
          <w:szCs w:val="24"/>
          <w:lang w:val="en"/>
        </w:rPr>
        <w:t xml:space="preserve">or adequate subsidized healthcare for themselves or their children </w:t>
      </w:r>
      <w:r w:rsidR="00E34AAC">
        <w:rPr>
          <w:rFonts w:ascii="Times New Roman" w:eastAsia="Times New Roman" w:hAnsi="Times New Roman" w:cs="Times New Roman"/>
          <w:sz w:val="24"/>
          <w:szCs w:val="24"/>
          <w:lang w:val="en"/>
        </w:rPr>
        <w:t xml:space="preserve">spend hours waiting at emergency rooms to be treated for minor illnesses. Students </w:t>
      </w:r>
      <w:r w:rsidR="00BF6E49">
        <w:rPr>
          <w:rFonts w:ascii="Times New Roman" w:eastAsia="Times New Roman" w:hAnsi="Times New Roman" w:cs="Times New Roman"/>
          <w:sz w:val="24"/>
          <w:szCs w:val="24"/>
          <w:lang w:val="en"/>
        </w:rPr>
        <w:t>deficient</w:t>
      </w:r>
      <w:r w:rsidR="00E34AAC">
        <w:rPr>
          <w:rFonts w:ascii="Times New Roman" w:eastAsia="Times New Roman" w:hAnsi="Times New Roman" w:cs="Times New Roman"/>
          <w:sz w:val="24"/>
          <w:szCs w:val="24"/>
          <w:lang w:val="en"/>
        </w:rPr>
        <w:t xml:space="preserve"> </w:t>
      </w:r>
      <w:r w:rsidR="00BF6E49">
        <w:rPr>
          <w:rFonts w:ascii="Times New Roman" w:eastAsia="Times New Roman" w:hAnsi="Times New Roman" w:cs="Times New Roman"/>
          <w:sz w:val="24"/>
          <w:szCs w:val="24"/>
          <w:lang w:val="en"/>
        </w:rPr>
        <w:t>in</w:t>
      </w:r>
      <w:r w:rsidR="00E34AAC">
        <w:rPr>
          <w:rFonts w:ascii="Times New Roman" w:eastAsia="Times New Roman" w:hAnsi="Times New Roman" w:cs="Times New Roman"/>
          <w:sz w:val="24"/>
          <w:szCs w:val="24"/>
          <w:lang w:val="en"/>
        </w:rPr>
        <w:t xml:space="preserve"> funds for basic </w:t>
      </w:r>
      <w:r w:rsidR="00BF6E49">
        <w:rPr>
          <w:rFonts w:ascii="Times New Roman" w:eastAsia="Times New Roman" w:hAnsi="Times New Roman" w:cs="Times New Roman"/>
          <w:sz w:val="24"/>
          <w:szCs w:val="24"/>
          <w:lang w:val="en"/>
        </w:rPr>
        <w:t xml:space="preserve">living </w:t>
      </w:r>
      <w:r w:rsidR="00E34AAC">
        <w:rPr>
          <w:rFonts w:ascii="Times New Roman" w:eastAsia="Times New Roman" w:hAnsi="Times New Roman" w:cs="Times New Roman"/>
          <w:sz w:val="24"/>
          <w:szCs w:val="24"/>
          <w:lang w:val="en"/>
        </w:rPr>
        <w:t xml:space="preserve">necessities, not covered by Health and Human Services, spend hours and days standing in line at non-profit agencies to obtain </w:t>
      </w:r>
      <w:r w:rsidR="00A87D67">
        <w:rPr>
          <w:rFonts w:ascii="Times New Roman" w:eastAsia="Times New Roman" w:hAnsi="Times New Roman" w:cs="Times New Roman"/>
          <w:sz w:val="24"/>
          <w:szCs w:val="24"/>
          <w:lang w:val="en"/>
        </w:rPr>
        <w:t>assistance</w:t>
      </w:r>
      <w:r w:rsidR="00E34AAC">
        <w:rPr>
          <w:rFonts w:ascii="Times New Roman" w:eastAsia="Times New Roman" w:hAnsi="Times New Roman" w:cs="Times New Roman"/>
          <w:sz w:val="24"/>
          <w:szCs w:val="24"/>
          <w:lang w:val="en"/>
        </w:rPr>
        <w:t xml:space="preserve"> with utility bills.  </w:t>
      </w:r>
      <w:r w:rsidR="00451E4D">
        <w:rPr>
          <w:rFonts w:ascii="Times New Roman" w:eastAsia="Times New Roman" w:hAnsi="Times New Roman" w:cs="Times New Roman"/>
          <w:sz w:val="24"/>
          <w:szCs w:val="24"/>
          <w:lang w:val="en"/>
        </w:rPr>
        <w:t>All of these incidences result in a substantial loss of instructional time for students</w:t>
      </w:r>
      <w:r w:rsidR="00E34AAC">
        <w:rPr>
          <w:rFonts w:ascii="Times New Roman" w:eastAsia="Times New Roman" w:hAnsi="Times New Roman" w:cs="Times New Roman"/>
          <w:sz w:val="24"/>
          <w:szCs w:val="24"/>
          <w:lang w:val="en"/>
        </w:rPr>
        <w:t xml:space="preserve">. Attendance is a key </w:t>
      </w:r>
      <w:r w:rsidR="007817AD">
        <w:rPr>
          <w:rFonts w:ascii="Times New Roman" w:eastAsia="Times New Roman" w:hAnsi="Times New Roman" w:cs="Times New Roman"/>
          <w:sz w:val="24"/>
          <w:szCs w:val="24"/>
          <w:lang w:val="en"/>
        </w:rPr>
        <w:t>determinant</w:t>
      </w:r>
      <w:r w:rsidR="00E34AAC">
        <w:rPr>
          <w:rFonts w:ascii="Times New Roman" w:eastAsia="Times New Roman" w:hAnsi="Times New Roman" w:cs="Times New Roman"/>
          <w:sz w:val="24"/>
          <w:szCs w:val="24"/>
          <w:lang w:val="en"/>
        </w:rPr>
        <w:t xml:space="preserve"> in student </w:t>
      </w:r>
      <w:r w:rsidR="00E34AAC">
        <w:rPr>
          <w:rFonts w:ascii="Times New Roman" w:eastAsia="Times New Roman" w:hAnsi="Times New Roman" w:cs="Times New Roman"/>
          <w:sz w:val="24"/>
          <w:szCs w:val="24"/>
          <w:lang w:val="en"/>
        </w:rPr>
        <w:lastRenderedPageBreak/>
        <w:t xml:space="preserve">success and retention. </w:t>
      </w:r>
      <w:r w:rsidR="000A0ADC">
        <w:rPr>
          <w:rFonts w:ascii="Times New Roman" w:eastAsia="Times New Roman" w:hAnsi="Times New Roman" w:cs="Times New Roman"/>
          <w:sz w:val="24"/>
          <w:szCs w:val="24"/>
          <w:lang w:val="en"/>
        </w:rPr>
        <w:t xml:space="preserve">Any measure </w:t>
      </w:r>
      <w:r w:rsidR="00ED07BD">
        <w:rPr>
          <w:rFonts w:ascii="Times New Roman" w:eastAsia="Times New Roman" w:hAnsi="Times New Roman" w:cs="Times New Roman"/>
          <w:sz w:val="24"/>
          <w:szCs w:val="24"/>
          <w:lang w:val="en"/>
        </w:rPr>
        <w:t xml:space="preserve">intended </w:t>
      </w:r>
      <w:r w:rsidR="000A0ADC">
        <w:rPr>
          <w:rFonts w:ascii="Times New Roman" w:eastAsia="Times New Roman" w:hAnsi="Times New Roman" w:cs="Times New Roman"/>
          <w:sz w:val="24"/>
          <w:szCs w:val="24"/>
          <w:lang w:val="en"/>
        </w:rPr>
        <w:t xml:space="preserve">to increase attendance is </w:t>
      </w:r>
      <w:r w:rsidR="007817AD">
        <w:rPr>
          <w:rFonts w:ascii="Times New Roman" w:eastAsia="Times New Roman" w:hAnsi="Times New Roman" w:cs="Times New Roman"/>
          <w:sz w:val="24"/>
          <w:szCs w:val="24"/>
          <w:lang w:val="en"/>
        </w:rPr>
        <w:t>one</w:t>
      </w:r>
      <w:r w:rsidR="000A0ADC">
        <w:rPr>
          <w:rFonts w:ascii="Times New Roman" w:eastAsia="Times New Roman" w:hAnsi="Times New Roman" w:cs="Times New Roman"/>
          <w:sz w:val="24"/>
          <w:szCs w:val="24"/>
          <w:lang w:val="en"/>
        </w:rPr>
        <w:t xml:space="preserve"> that </w:t>
      </w:r>
      <w:r w:rsidR="007817AD">
        <w:rPr>
          <w:rFonts w:ascii="Times New Roman" w:eastAsia="Times New Roman" w:hAnsi="Times New Roman" w:cs="Times New Roman"/>
          <w:sz w:val="24"/>
          <w:szCs w:val="24"/>
          <w:lang w:val="en"/>
        </w:rPr>
        <w:t>deserves thoughtful consideration</w:t>
      </w:r>
      <w:r w:rsidR="000A0ADC">
        <w:rPr>
          <w:rFonts w:ascii="Times New Roman" w:eastAsia="Times New Roman" w:hAnsi="Times New Roman" w:cs="Times New Roman"/>
          <w:sz w:val="24"/>
          <w:szCs w:val="24"/>
          <w:lang w:val="en"/>
        </w:rPr>
        <w:t xml:space="preserve">. Of course, in the face of budget cuts and dwindling state and federal funds, a logical argument against establishing an emergency fund for non-academic related expenses would be simply that it is not affordable. </w:t>
      </w:r>
      <w:r w:rsidR="00714B62">
        <w:rPr>
          <w:rFonts w:ascii="Times New Roman" w:eastAsia="Times New Roman" w:hAnsi="Times New Roman" w:cs="Times New Roman"/>
          <w:sz w:val="24"/>
          <w:szCs w:val="24"/>
          <w:lang w:val="en"/>
        </w:rPr>
        <w:t>To the contrary</w:t>
      </w:r>
      <w:r w:rsidR="000A0ADC">
        <w:rPr>
          <w:rFonts w:ascii="Times New Roman" w:eastAsia="Times New Roman" w:hAnsi="Times New Roman" w:cs="Times New Roman"/>
          <w:sz w:val="24"/>
          <w:szCs w:val="24"/>
          <w:lang w:val="en"/>
        </w:rPr>
        <w:t xml:space="preserve">, </w:t>
      </w:r>
      <w:r w:rsidR="006530B5">
        <w:rPr>
          <w:rFonts w:ascii="Times New Roman" w:eastAsia="Times New Roman" w:hAnsi="Times New Roman" w:cs="Times New Roman"/>
          <w:sz w:val="24"/>
          <w:szCs w:val="24"/>
          <w:lang w:val="en"/>
        </w:rPr>
        <w:t>failing to establish such a fund is not affordable</w:t>
      </w:r>
      <w:r w:rsidR="000A0ADC">
        <w:rPr>
          <w:rFonts w:ascii="Times New Roman" w:eastAsia="Times New Roman" w:hAnsi="Times New Roman" w:cs="Times New Roman"/>
          <w:sz w:val="24"/>
          <w:szCs w:val="24"/>
          <w:lang w:val="en"/>
        </w:rPr>
        <w:t xml:space="preserve">. The cost of college dropouts is </w:t>
      </w:r>
      <w:r w:rsidR="00C76577">
        <w:rPr>
          <w:rFonts w:ascii="Times New Roman" w:eastAsia="Times New Roman" w:hAnsi="Times New Roman" w:cs="Times New Roman"/>
          <w:sz w:val="24"/>
          <w:szCs w:val="24"/>
          <w:lang w:val="en"/>
        </w:rPr>
        <w:t>significant</w:t>
      </w:r>
      <w:r w:rsidR="000A0ADC">
        <w:rPr>
          <w:rFonts w:ascii="Times New Roman" w:eastAsia="Times New Roman" w:hAnsi="Times New Roman" w:cs="Times New Roman"/>
          <w:sz w:val="24"/>
          <w:szCs w:val="24"/>
          <w:lang w:val="en"/>
        </w:rPr>
        <w:t>, particularly in comparison to the price tag of subsidizing an emergency fund.</w:t>
      </w:r>
      <w:r w:rsidR="00854C76">
        <w:rPr>
          <w:rFonts w:ascii="Times New Roman" w:eastAsia="Times New Roman" w:hAnsi="Times New Roman" w:cs="Times New Roman"/>
          <w:sz w:val="24"/>
          <w:szCs w:val="24"/>
          <w:lang w:val="en"/>
        </w:rPr>
        <w:t xml:space="preserve"> Typically</w:t>
      </w:r>
      <w:r w:rsidR="00C76577">
        <w:rPr>
          <w:rFonts w:ascii="Times New Roman" w:eastAsia="Times New Roman" w:hAnsi="Times New Roman" w:cs="Times New Roman"/>
          <w:sz w:val="24"/>
          <w:szCs w:val="24"/>
          <w:lang w:val="en"/>
        </w:rPr>
        <w:t>, attrition can cost community colleges millions of dollars per year</w:t>
      </w:r>
      <w:r w:rsidR="005D28A4">
        <w:rPr>
          <w:rFonts w:ascii="Times New Roman" w:eastAsia="Times New Roman" w:hAnsi="Times New Roman" w:cs="Times New Roman"/>
          <w:sz w:val="24"/>
          <w:szCs w:val="24"/>
          <w:lang w:val="en"/>
        </w:rPr>
        <w:t>,</w:t>
      </w:r>
      <w:r w:rsidR="00C76577">
        <w:rPr>
          <w:rFonts w:ascii="Times New Roman" w:eastAsia="Times New Roman" w:hAnsi="Times New Roman" w:cs="Times New Roman"/>
          <w:sz w:val="24"/>
          <w:szCs w:val="24"/>
          <w:lang w:val="en"/>
        </w:rPr>
        <w:t xml:space="preserve"> and according to the American Institutes for Research, that figure translates to $1 billion annually for taxpayers (</w:t>
      </w:r>
      <w:r w:rsidR="005D28A4">
        <w:rPr>
          <w:rFonts w:ascii="Times New Roman" w:eastAsia="Times New Roman" w:hAnsi="Times New Roman" w:cs="Times New Roman"/>
          <w:sz w:val="24"/>
          <w:szCs w:val="24"/>
          <w:lang w:val="en"/>
        </w:rPr>
        <w:t>2011)</w:t>
      </w:r>
      <w:r w:rsidR="00C76577">
        <w:rPr>
          <w:rFonts w:ascii="Times New Roman" w:eastAsia="Times New Roman" w:hAnsi="Times New Roman" w:cs="Times New Roman"/>
          <w:sz w:val="24"/>
          <w:szCs w:val="24"/>
          <w:lang w:val="en"/>
        </w:rPr>
        <w:t xml:space="preserve"> . </w:t>
      </w:r>
      <w:r w:rsidR="000A0ADC">
        <w:rPr>
          <w:rFonts w:ascii="Times New Roman" w:eastAsia="Times New Roman" w:hAnsi="Times New Roman" w:cs="Times New Roman"/>
          <w:sz w:val="24"/>
          <w:szCs w:val="24"/>
          <w:lang w:val="en"/>
        </w:rPr>
        <w:t xml:space="preserve"> </w:t>
      </w:r>
    </w:p>
    <w:p w:rsidR="00B87D30" w:rsidRDefault="00B87D30" w:rsidP="0005567F">
      <w:pPr>
        <w:spacing w:after="0" w:line="480" w:lineRule="auto"/>
        <w:ind w:firstLine="720"/>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Doing the Homework</w:t>
      </w:r>
    </w:p>
    <w:p w:rsidR="00DC73EA" w:rsidRDefault="00B87D30" w:rsidP="00B36FFD">
      <w:pPr>
        <w:spacing w:after="0" w:line="480" w:lineRule="auto"/>
        <w:ind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Prior to sharing </w:t>
      </w:r>
      <w:r w:rsidR="00A17C52">
        <w:rPr>
          <w:rFonts w:ascii="Times New Roman" w:eastAsia="Times New Roman" w:hAnsi="Times New Roman" w:cs="Times New Roman"/>
          <w:sz w:val="24"/>
          <w:szCs w:val="24"/>
          <w:lang w:val="en"/>
        </w:rPr>
        <w:t xml:space="preserve">a plan to establish an alternative emergency fund, it is necessary to clearly define the vision. It is difficult to successfully share with others a vision that is ambiguous or not carefully thought out. </w:t>
      </w:r>
      <w:r>
        <w:rPr>
          <w:rFonts w:ascii="Times New Roman" w:eastAsia="Times New Roman" w:hAnsi="Times New Roman" w:cs="Times New Roman"/>
          <w:sz w:val="24"/>
          <w:szCs w:val="24"/>
          <w:lang w:val="en"/>
        </w:rPr>
        <w:t xml:space="preserve"> </w:t>
      </w:r>
      <w:r w:rsidR="00FB4F54">
        <w:rPr>
          <w:rFonts w:ascii="Times New Roman" w:eastAsia="Times New Roman" w:hAnsi="Times New Roman" w:cs="Times New Roman"/>
          <w:sz w:val="24"/>
          <w:szCs w:val="24"/>
          <w:lang w:val="en"/>
        </w:rPr>
        <w:t>My</w:t>
      </w:r>
      <w:r w:rsidR="00150C5C">
        <w:rPr>
          <w:rFonts w:ascii="Times New Roman" w:eastAsia="Times New Roman" w:hAnsi="Times New Roman" w:cs="Times New Roman"/>
          <w:sz w:val="24"/>
          <w:szCs w:val="24"/>
          <w:lang w:val="en"/>
        </w:rPr>
        <w:t xml:space="preserve"> vision is to </w:t>
      </w:r>
      <w:r w:rsidR="00E42CF6">
        <w:rPr>
          <w:rFonts w:ascii="Times New Roman" w:eastAsia="Times New Roman" w:hAnsi="Times New Roman" w:cs="Times New Roman"/>
          <w:sz w:val="24"/>
          <w:szCs w:val="24"/>
          <w:lang w:val="en"/>
        </w:rPr>
        <w:t>institute</w:t>
      </w:r>
      <w:r w:rsidR="00150C5C">
        <w:rPr>
          <w:rFonts w:ascii="Times New Roman" w:eastAsia="Times New Roman" w:hAnsi="Times New Roman" w:cs="Times New Roman"/>
          <w:sz w:val="24"/>
          <w:szCs w:val="24"/>
          <w:lang w:val="en"/>
        </w:rPr>
        <w:t xml:space="preserve"> an emergency fund that provides temporary, immediate assistance </w:t>
      </w:r>
      <w:r w:rsidR="00FB4F54">
        <w:rPr>
          <w:rFonts w:ascii="Times New Roman" w:eastAsia="Times New Roman" w:hAnsi="Times New Roman" w:cs="Times New Roman"/>
          <w:sz w:val="24"/>
          <w:szCs w:val="24"/>
          <w:lang w:val="en"/>
        </w:rPr>
        <w:t>to</w:t>
      </w:r>
      <w:r w:rsidR="00D20BFC">
        <w:rPr>
          <w:rFonts w:ascii="Times New Roman" w:eastAsia="Times New Roman" w:hAnsi="Times New Roman" w:cs="Times New Roman"/>
          <w:sz w:val="24"/>
          <w:szCs w:val="24"/>
          <w:lang w:val="en"/>
        </w:rPr>
        <w:t xml:space="preserve"> low-income</w:t>
      </w:r>
      <w:r w:rsidR="00FB4F54">
        <w:rPr>
          <w:rFonts w:ascii="Times New Roman" w:eastAsia="Times New Roman" w:hAnsi="Times New Roman" w:cs="Times New Roman"/>
          <w:sz w:val="24"/>
          <w:szCs w:val="24"/>
          <w:lang w:val="en"/>
        </w:rPr>
        <w:t xml:space="preserve"> students </w:t>
      </w:r>
      <w:r w:rsidR="00150C5C">
        <w:rPr>
          <w:rFonts w:ascii="Times New Roman" w:eastAsia="Times New Roman" w:hAnsi="Times New Roman" w:cs="Times New Roman"/>
          <w:sz w:val="24"/>
          <w:szCs w:val="24"/>
          <w:lang w:val="en"/>
        </w:rPr>
        <w:t xml:space="preserve">for unanticipated expenses. </w:t>
      </w:r>
      <w:r w:rsidR="00FB4F54">
        <w:rPr>
          <w:rFonts w:ascii="Times New Roman" w:eastAsia="Times New Roman" w:hAnsi="Times New Roman" w:cs="Times New Roman"/>
          <w:sz w:val="24"/>
          <w:szCs w:val="24"/>
          <w:lang w:val="en"/>
        </w:rPr>
        <w:t>Students</w:t>
      </w:r>
      <w:r w:rsidR="00D20BFC">
        <w:rPr>
          <w:rFonts w:ascii="Times New Roman" w:eastAsia="Times New Roman" w:hAnsi="Times New Roman" w:cs="Times New Roman"/>
          <w:sz w:val="24"/>
          <w:szCs w:val="24"/>
          <w:lang w:val="en"/>
        </w:rPr>
        <w:t xml:space="preserve"> who </w:t>
      </w:r>
      <w:r w:rsidR="0093721F">
        <w:rPr>
          <w:rFonts w:ascii="Times New Roman" w:eastAsia="Times New Roman" w:hAnsi="Times New Roman" w:cs="Times New Roman"/>
          <w:sz w:val="24"/>
          <w:szCs w:val="24"/>
          <w:lang w:val="en"/>
        </w:rPr>
        <w:t>apply</w:t>
      </w:r>
      <w:r w:rsidR="00D20BFC">
        <w:rPr>
          <w:rFonts w:ascii="Times New Roman" w:eastAsia="Times New Roman" w:hAnsi="Times New Roman" w:cs="Times New Roman"/>
          <w:sz w:val="24"/>
          <w:szCs w:val="24"/>
          <w:lang w:val="en"/>
        </w:rPr>
        <w:t xml:space="preserve"> in advance to </w:t>
      </w:r>
      <w:r w:rsidR="0093721F">
        <w:rPr>
          <w:rFonts w:ascii="Times New Roman" w:eastAsia="Times New Roman" w:hAnsi="Times New Roman" w:cs="Times New Roman"/>
          <w:sz w:val="24"/>
          <w:szCs w:val="24"/>
          <w:lang w:val="en"/>
        </w:rPr>
        <w:t>utilize</w:t>
      </w:r>
      <w:r w:rsidR="00D20BFC">
        <w:rPr>
          <w:rFonts w:ascii="Times New Roman" w:eastAsia="Times New Roman" w:hAnsi="Times New Roman" w:cs="Times New Roman"/>
          <w:sz w:val="24"/>
          <w:szCs w:val="24"/>
          <w:lang w:val="en"/>
        </w:rPr>
        <w:t xml:space="preserve"> the fund</w:t>
      </w:r>
      <w:r w:rsidR="0093721F">
        <w:rPr>
          <w:rFonts w:ascii="Times New Roman" w:eastAsia="Times New Roman" w:hAnsi="Times New Roman" w:cs="Times New Roman"/>
          <w:sz w:val="24"/>
          <w:szCs w:val="24"/>
          <w:lang w:val="en"/>
        </w:rPr>
        <w:t xml:space="preserve"> would provide</w:t>
      </w:r>
      <w:r w:rsidR="00D20BFC">
        <w:rPr>
          <w:rFonts w:ascii="Times New Roman" w:eastAsia="Times New Roman" w:hAnsi="Times New Roman" w:cs="Times New Roman"/>
          <w:sz w:val="24"/>
          <w:szCs w:val="24"/>
          <w:lang w:val="en"/>
        </w:rPr>
        <w:t xml:space="preserve"> the same financial information they provide when filling out the FAFSA, </w:t>
      </w:r>
      <w:r w:rsidR="0093721F">
        <w:rPr>
          <w:rFonts w:ascii="Times New Roman" w:eastAsia="Times New Roman" w:hAnsi="Times New Roman" w:cs="Times New Roman"/>
          <w:sz w:val="24"/>
          <w:szCs w:val="24"/>
          <w:lang w:val="en"/>
        </w:rPr>
        <w:t xml:space="preserve">and </w:t>
      </w:r>
      <w:r w:rsidR="00D20BFC">
        <w:rPr>
          <w:rFonts w:ascii="Times New Roman" w:eastAsia="Times New Roman" w:hAnsi="Times New Roman" w:cs="Times New Roman"/>
          <w:sz w:val="24"/>
          <w:szCs w:val="24"/>
          <w:lang w:val="en"/>
        </w:rPr>
        <w:t>would, upon meeting eligibility requirements,</w:t>
      </w:r>
      <w:r w:rsidR="00FB4F54">
        <w:rPr>
          <w:rFonts w:ascii="Times New Roman" w:eastAsia="Times New Roman" w:hAnsi="Times New Roman" w:cs="Times New Roman"/>
          <w:sz w:val="24"/>
          <w:szCs w:val="24"/>
          <w:lang w:val="en"/>
        </w:rPr>
        <w:t xml:space="preserve"> </w:t>
      </w:r>
      <w:r w:rsidR="00D20BFC">
        <w:rPr>
          <w:rFonts w:ascii="Times New Roman" w:eastAsia="Times New Roman" w:hAnsi="Times New Roman" w:cs="Times New Roman"/>
          <w:sz w:val="24"/>
          <w:szCs w:val="24"/>
          <w:lang w:val="en"/>
        </w:rPr>
        <w:t>be able to</w:t>
      </w:r>
      <w:r w:rsidR="00FB4F54">
        <w:rPr>
          <w:rFonts w:ascii="Times New Roman" w:eastAsia="Times New Roman" w:hAnsi="Times New Roman" w:cs="Times New Roman"/>
          <w:sz w:val="24"/>
          <w:szCs w:val="24"/>
          <w:lang w:val="en"/>
        </w:rPr>
        <w:t xml:space="preserve"> </w:t>
      </w:r>
      <w:r w:rsidR="0093721F">
        <w:rPr>
          <w:rFonts w:ascii="Times New Roman" w:eastAsia="Times New Roman" w:hAnsi="Times New Roman" w:cs="Times New Roman"/>
          <w:sz w:val="24"/>
          <w:szCs w:val="24"/>
          <w:lang w:val="en"/>
        </w:rPr>
        <w:t xml:space="preserve">withdraw funds in the event they are faced with </w:t>
      </w:r>
      <w:r w:rsidR="00FB4F54">
        <w:rPr>
          <w:rFonts w:ascii="Times New Roman" w:eastAsia="Times New Roman" w:hAnsi="Times New Roman" w:cs="Times New Roman"/>
          <w:sz w:val="24"/>
          <w:szCs w:val="24"/>
          <w:lang w:val="en"/>
        </w:rPr>
        <w:t>unexpected expenses.</w:t>
      </w:r>
      <w:r w:rsidR="0093721F">
        <w:rPr>
          <w:rFonts w:ascii="Times New Roman" w:eastAsia="Times New Roman" w:hAnsi="Times New Roman" w:cs="Times New Roman"/>
          <w:sz w:val="24"/>
          <w:szCs w:val="24"/>
          <w:lang w:val="en"/>
        </w:rPr>
        <w:t xml:space="preserve"> </w:t>
      </w:r>
      <w:r w:rsidR="00E12BD5">
        <w:rPr>
          <w:rFonts w:ascii="Times New Roman" w:eastAsia="Times New Roman" w:hAnsi="Times New Roman" w:cs="Times New Roman"/>
          <w:sz w:val="24"/>
          <w:szCs w:val="24"/>
          <w:lang w:val="en"/>
        </w:rPr>
        <w:t xml:space="preserve">Eligibility would take into consideration not only financial necessity, but GPA as well. </w:t>
      </w:r>
      <w:r w:rsidR="0093721F">
        <w:rPr>
          <w:rFonts w:ascii="Times New Roman" w:eastAsia="Times New Roman" w:hAnsi="Times New Roman" w:cs="Times New Roman"/>
          <w:sz w:val="24"/>
          <w:szCs w:val="24"/>
          <w:lang w:val="en"/>
        </w:rPr>
        <w:t>Students would not be required to pay back the funds unless they failed to produce valid documentation of a legitimate expense</w:t>
      </w:r>
      <w:r w:rsidR="00E12BD5">
        <w:rPr>
          <w:rFonts w:ascii="Times New Roman" w:eastAsia="Times New Roman" w:hAnsi="Times New Roman" w:cs="Times New Roman"/>
          <w:sz w:val="24"/>
          <w:szCs w:val="24"/>
          <w:lang w:val="en"/>
        </w:rPr>
        <w:t>, for example, a receipt or a past due bill and a confirmation of its satisfactory payment</w:t>
      </w:r>
      <w:r w:rsidR="0093721F">
        <w:rPr>
          <w:rFonts w:ascii="Times New Roman" w:eastAsia="Times New Roman" w:hAnsi="Times New Roman" w:cs="Times New Roman"/>
          <w:sz w:val="24"/>
          <w:szCs w:val="24"/>
          <w:lang w:val="en"/>
        </w:rPr>
        <w:t>. Legitimate expenses would include, but would not be limited to, urgent care visits, utility bills, drop-in daycare costs, fuel or public transportation expenses, and reasonable car repair bills.</w:t>
      </w:r>
      <w:r w:rsidR="00FB4F54">
        <w:rPr>
          <w:rFonts w:ascii="Times New Roman" w:eastAsia="Times New Roman" w:hAnsi="Times New Roman" w:cs="Times New Roman"/>
          <w:sz w:val="24"/>
          <w:szCs w:val="24"/>
          <w:lang w:val="en"/>
        </w:rPr>
        <w:t xml:space="preserve"> </w:t>
      </w:r>
    </w:p>
    <w:p w:rsidR="00652FCC" w:rsidRDefault="00D238DB" w:rsidP="00B36FFD">
      <w:pPr>
        <w:spacing w:after="0" w:line="480" w:lineRule="auto"/>
        <w:ind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Once the vision is defined, justification is necessary. </w:t>
      </w:r>
      <w:r w:rsidR="0073779B">
        <w:rPr>
          <w:rFonts w:ascii="Times New Roman" w:eastAsia="Times New Roman" w:hAnsi="Times New Roman" w:cs="Times New Roman"/>
          <w:sz w:val="24"/>
          <w:szCs w:val="24"/>
          <w:lang w:val="en"/>
        </w:rPr>
        <w:t xml:space="preserve">As </w:t>
      </w:r>
      <w:proofErr w:type="spellStart"/>
      <w:r w:rsidR="0073779B">
        <w:rPr>
          <w:rFonts w:ascii="Times New Roman" w:eastAsia="Times New Roman" w:hAnsi="Times New Roman" w:cs="Times New Roman"/>
          <w:sz w:val="24"/>
          <w:szCs w:val="24"/>
          <w:lang w:val="en"/>
        </w:rPr>
        <w:t>Katsinus</w:t>
      </w:r>
      <w:proofErr w:type="spellEnd"/>
      <w:r w:rsidR="0073779B">
        <w:rPr>
          <w:rFonts w:ascii="Times New Roman" w:eastAsia="Times New Roman" w:hAnsi="Times New Roman" w:cs="Times New Roman"/>
          <w:sz w:val="24"/>
          <w:szCs w:val="24"/>
          <w:lang w:val="en"/>
        </w:rPr>
        <w:t xml:space="preserve"> </w:t>
      </w:r>
      <w:r w:rsidR="00652FCC">
        <w:rPr>
          <w:rFonts w:ascii="Times New Roman" w:eastAsia="Times New Roman" w:hAnsi="Times New Roman" w:cs="Times New Roman"/>
          <w:sz w:val="24"/>
          <w:szCs w:val="24"/>
          <w:lang w:val="en"/>
        </w:rPr>
        <w:t xml:space="preserve">(2009) </w:t>
      </w:r>
      <w:r w:rsidR="0073779B">
        <w:rPr>
          <w:rFonts w:ascii="Times New Roman" w:eastAsia="Times New Roman" w:hAnsi="Times New Roman" w:cs="Times New Roman"/>
          <w:sz w:val="24"/>
          <w:szCs w:val="24"/>
          <w:lang w:val="en"/>
        </w:rPr>
        <w:t xml:space="preserve">explained, the planning stage of a </w:t>
      </w:r>
      <w:r w:rsidR="00E42CF6">
        <w:rPr>
          <w:rFonts w:ascii="Times New Roman" w:eastAsia="Times New Roman" w:hAnsi="Times New Roman" w:cs="Times New Roman"/>
          <w:sz w:val="24"/>
          <w:szCs w:val="24"/>
          <w:lang w:val="en"/>
        </w:rPr>
        <w:t>quality enhancement plan (QEP)</w:t>
      </w:r>
      <w:r w:rsidR="0073779B">
        <w:rPr>
          <w:rFonts w:ascii="Times New Roman" w:eastAsia="Times New Roman" w:hAnsi="Times New Roman" w:cs="Times New Roman"/>
          <w:sz w:val="24"/>
          <w:szCs w:val="24"/>
          <w:lang w:val="en"/>
        </w:rPr>
        <w:t xml:space="preserve"> is “complex, multifaceted, and </w:t>
      </w:r>
      <w:r w:rsidR="0073779B">
        <w:rPr>
          <w:rFonts w:ascii="Times New Roman" w:eastAsia="Times New Roman" w:hAnsi="Times New Roman" w:cs="Times New Roman"/>
          <w:sz w:val="24"/>
          <w:szCs w:val="24"/>
          <w:lang w:val="en"/>
        </w:rPr>
        <w:lastRenderedPageBreak/>
        <w:t xml:space="preserve">transactional” (p. 659). </w:t>
      </w:r>
      <w:r>
        <w:rPr>
          <w:rFonts w:ascii="Times New Roman" w:eastAsia="Times New Roman" w:hAnsi="Times New Roman" w:cs="Times New Roman"/>
          <w:sz w:val="24"/>
          <w:szCs w:val="24"/>
          <w:lang w:val="en"/>
        </w:rPr>
        <w:t xml:space="preserve">Gathering and recording </w:t>
      </w:r>
      <w:r w:rsidR="0093721F">
        <w:rPr>
          <w:rFonts w:ascii="Times New Roman" w:eastAsia="Times New Roman" w:hAnsi="Times New Roman" w:cs="Times New Roman"/>
          <w:sz w:val="24"/>
          <w:szCs w:val="24"/>
          <w:lang w:val="en"/>
        </w:rPr>
        <w:t>qualitative data</w:t>
      </w:r>
      <w:r>
        <w:rPr>
          <w:rFonts w:ascii="Times New Roman" w:eastAsia="Times New Roman" w:hAnsi="Times New Roman" w:cs="Times New Roman"/>
          <w:sz w:val="24"/>
          <w:szCs w:val="24"/>
          <w:lang w:val="en"/>
        </w:rPr>
        <w:t xml:space="preserve"> is an excellent starting point.</w:t>
      </w:r>
      <w:r w:rsidR="00144230">
        <w:rPr>
          <w:rFonts w:ascii="Times New Roman" w:eastAsia="Times New Roman" w:hAnsi="Times New Roman" w:cs="Times New Roman"/>
          <w:sz w:val="24"/>
          <w:szCs w:val="24"/>
          <w:lang w:val="en"/>
        </w:rPr>
        <w:t xml:space="preserve"> </w:t>
      </w:r>
      <w:r w:rsidR="002C3739">
        <w:rPr>
          <w:rFonts w:ascii="Times New Roman" w:eastAsia="Times New Roman" w:hAnsi="Times New Roman" w:cs="Times New Roman"/>
          <w:sz w:val="24"/>
          <w:szCs w:val="24"/>
          <w:lang w:val="en"/>
        </w:rPr>
        <w:t xml:space="preserve">In order to get a better idea of the number of students affected by financial strain that </w:t>
      </w:r>
      <w:r w:rsidR="003D336B">
        <w:rPr>
          <w:rFonts w:ascii="Times New Roman" w:eastAsia="Times New Roman" w:hAnsi="Times New Roman" w:cs="Times New Roman"/>
          <w:sz w:val="24"/>
          <w:szCs w:val="24"/>
          <w:lang w:val="en"/>
        </w:rPr>
        <w:t xml:space="preserve">has </w:t>
      </w:r>
      <w:r w:rsidR="002C3739">
        <w:rPr>
          <w:rFonts w:ascii="Times New Roman" w:eastAsia="Times New Roman" w:hAnsi="Times New Roman" w:cs="Times New Roman"/>
          <w:sz w:val="24"/>
          <w:szCs w:val="24"/>
          <w:lang w:val="en"/>
        </w:rPr>
        <w:t>prohibit</w:t>
      </w:r>
      <w:r w:rsidR="003D336B">
        <w:rPr>
          <w:rFonts w:ascii="Times New Roman" w:eastAsia="Times New Roman" w:hAnsi="Times New Roman" w:cs="Times New Roman"/>
          <w:sz w:val="24"/>
          <w:szCs w:val="24"/>
          <w:lang w:val="en"/>
        </w:rPr>
        <w:t>ed</w:t>
      </w:r>
      <w:r w:rsidR="002C3739">
        <w:rPr>
          <w:rFonts w:ascii="Times New Roman" w:eastAsia="Times New Roman" w:hAnsi="Times New Roman" w:cs="Times New Roman"/>
          <w:sz w:val="24"/>
          <w:szCs w:val="24"/>
          <w:lang w:val="en"/>
        </w:rPr>
        <w:t xml:space="preserve"> them from attending classes and has caused them to consider dropping out of college, I conducted an anonymous survey</w:t>
      </w:r>
      <w:r w:rsidR="003D336B">
        <w:rPr>
          <w:rFonts w:ascii="Times New Roman" w:eastAsia="Times New Roman" w:hAnsi="Times New Roman" w:cs="Times New Roman"/>
          <w:sz w:val="24"/>
          <w:szCs w:val="24"/>
          <w:lang w:val="en"/>
        </w:rPr>
        <w:t xml:space="preserve"> in all of my classes</w:t>
      </w:r>
      <w:r w:rsidR="002C3739">
        <w:rPr>
          <w:rFonts w:ascii="Times New Roman" w:eastAsia="Times New Roman" w:hAnsi="Times New Roman" w:cs="Times New Roman"/>
          <w:sz w:val="24"/>
          <w:szCs w:val="24"/>
          <w:lang w:val="en"/>
        </w:rPr>
        <w:t xml:space="preserve">. Students were instructed to answer questions on a sheet of paper and put them in an envelope so that neither I nor anyone in the class would know their responses. They were asked to answer whether or not financial distress has affected them to the point that they had considered dropping out of school, and if so, to describe the financial distress. Students who did not wish to respond were told to express such. Students who are not in financial distress were told to respond with </w:t>
      </w:r>
      <w:r w:rsidR="002C3739" w:rsidRPr="00AE472E">
        <w:rPr>
          <w:rFonts w:ascii="Times New Roman" w:eastAsia="Times New Roman" w:hAnsi="Times New Roman" w:cs="Times New Roman"/>
          <w:i/>
          <w:sz w:val="24"/>
          <w:szCs w:val="24"/>
          <w:lang w:val="en"/>
        </w:rPr>
        <w:t>N/A</w:t>
      </w:r>
      <w:r w:rsidR="002C3739">
        <w:rPr>
          <w:rFonts w:ascii="Times New Roman" w:eastAsia="Times New Roman" w:hAnsi="Times New Roman" w:cs="Times New Roman"/>
          <w:sz w:val="24"/>
          <w:szCs w:val="24"/>
          <w:lang w:val="en"/>
        </w:rPr>
        <w:t xml:space="preserve">. Prior to asking students to answer </w:t>
      </w:r>
      <w:proofErr w:type="gramStart"/>
      <w:r w:rsidR="002C3739">
        <w:rPr>
          <w:rFonts w:ascii="Times New Roman" w:eastAsia="Times New Roman" w:hAnsi="Times New Roman" w:cs="Times New Roman"/>
          <w:sz w:val="24"/>
          <w:szCs w:val="24"/>
          <w:lang w:val="en"/>
        </w:rPr>
        <w:t>questions,</w:t>
      </w:r>
      <w:proofErr w:type="gramEnd"/>
      <w:r w:rsidR="002C3739">
        <w:rPr>
          <w:rFonts w:ascii="Times New Roman" w:eastAsia="Times New Roman" w:hAnsi="Times New Roman" w:cs="Times New Roman"/>
          <w:sz w:val="24"/>
          <w:szCs w:val="24"/>
          <w:lang w:val="en"/>
        </w:rPr>
        <w:t xml:space="preserve"> they were given the definition of true financial distress so that the</w:t>
      </w:r>
      <w:r w:rsidR="00652FCC">
        <w:rPr>
          <w:rFonts w:ascii="Times New Roman" w:eastAsia="Times New Roman" w:hAnsi="Times New Roman" w:cs="Times New Roman"/>
          <w:sz w:val="24"/>
          <w:szCs w:val="24"/>
          <w:lang w:val="en"/>
        </w:rPr>
        <w:t>y</w:t>
      </w:r>
      <w:r w:rsidR="002C3739">
        <w:rPr>
          <w:rFonts w:ascii="Times New Roman" w:eastAsia="Times New Roman" w:hAnsi="Times New Roman" w:cs="Times New Roman"/>
          <w:sz w:val="24"/>
          <w:szCs w:val="24"/>
          <w:lang w:val="en"/>
        </w:rPr>
        <w:t xml:space="preserve"> understood the difference between enduring </w:t>
      </w:r>
      <w:r w:rsidR="009877F6">
        <w:rPr>
          <w:rFonts w:ascii="Times New Roman" w:eastAsia="Times New Roman" w:hAnsi="Times New Roman" w:cs="Times New Roman"/>
          <w:sz w:val="24"/>
          <w:szCs w:val="24"/>
          <w:lang w:val="en"/>
        </w:rPr>
        <w:t xml:space="preserve">a true </w:t>
      </w:r>
      <w:r w:rsidR="002C3739">
        <w:rPr>
          <w:rFonts w:ascii="Times New Roman" w:eastAsia="Times New Roman" w:hAnsi="Times New Roman" w:cs="Times New Roman"/>
          <w:sz w:val="24"/>
          <w:szCs w:val="24"/>
          <w:lang w:val="en"/>
        </w:rPr>
        <w:t xml:space="preserve">financial hardship and having to wait until their next paycheck to purchase a want as opposed to a need. </w:t>
      </w:r>
      <w:r w:rsidR="007012EB">
        <w:rPr>
          <w:rFonts w:ascii="Times New Roman" w:eastAsia="Times New Roman" w:hAnsi="Times New Roman" w:cs="Times New Roman"/>
          <w:sz w:val="24"/>
          <w:szCs w:val="24"/>
          <w:lang w:val="en"/>
        </w:rPr>
        <w:t>61 students responded to the survey, and n</w:t>
      </w:r>
      <w:r w:rsidR="003D336B">
        <w:rPr>
          <w:rFonts w:ascii="Times New Roman" w:eastAsia="Times New Roman" w:hAnsi="Times New Roman" w:cs="Times New Roman"/>
          <w:sz w:val="24"/>
          <w:szCs w:val="24"/>
          <w:lang w:val="en"/>
        </w:rPr>
        <w:t xml:space="preserve">ot surprisingly, </w:t>
      </w:r>
      <w:r w:rsidR="007012EB">
        <w:rPr>
          <w:rFonts w:ascii="Times New Roman" w:eastAsia="Times New Roman" w:hAnsi="Times New Roman" w:cs="Times New Roman"/>
          <w:sz w:val="24"/>
          <w:szCs w:val="24"/>
          <w:lang w:val="en"/>
        </w:rPr>
        <w:t>22</w:t>
      </w:r>
      <w:r w:rsidR="000D231C">
        <w:rPr>
          <w:rFonts w:ascii="Times New Roman" w:eastAsia="Times New Roman" w:hAnsi="Times New Roman" w:cs="Times New Roman"/>
          <w:sz w:val="24"/>
          <w:szCs w:val="24"/>
          <w:lang w:val="en"/>
        </w:rPr>
        <w:t xml:space="preserve"> responded positively to having experienced a bout of financial hardship so severe that they had considered leaving school. I have long been concerned that m</w:t>
      </w:r>
      <w:r w:rsidR="004D58A9">
        <w:rPr>
          <w:rFonts w:ascii="Times New Roman" w:eastAsia="Times New Roman" w:hAnsi="Times New Roman" w:cs="Times New Roman"/>
          <w:sz w:val="24"/>
          <w:szCs w:val="24"/>
          <w:lang w:val="en"/>
        </w:rPr>
        <w:t xml:space="preserve">any of my students have </w:t>
      </w:r>
      <w:r w:rsidR="00150C5C">
        <w:rPr>
          <w:rFonts w:ascii="Times New Roman" w:eastAsia="Times New Roman" w:hAnsi="Times New Roman" w:cs="Times New Roman"/>
          <w:sz w:val="24"/>
          <w:szCs w:val="24"/>
          <w:lang w:val="en"/>
        </w:rPr>
        <w:t>missed classes due to unforeseen circumstances that require</w:t>
      </w:r>
      <w:r w:rsidR="00FB4F54">
        <w:rPr>
          <w:rFonts w:ascii="Times New Roman" w:eastAsia="Times New Roman" w:hAnsi="Times New Roman" w:cs="Times New Roman"/>
          <w:sz w:val="24"/>
          <w:szCs w:val="24"/>
          <w:lang w:val="en"/>
        </w:rPr>
        <w:t>d</w:t>
      </w:r>
      <w:r w:rsidR="00150C5C">
        <w:rPr>
          <w:rFonts w:ascii="Times New Roman" w:eastAsia="Times New Roman" w:hAnsi="Times New Roman" w:cs="Times New Roman"/>
          <w:sz w:val="24"/>
          <w:szCs w:val="24"/>
          <w:lang w:val="en"/>
        </w:rPr>
        <w:t xml:space="preserve"> money they did not have. </w:t>
      </w:r>
      <w:r w:rsidR="000D231C">
        <w:rPr>
          <w:rFonts w:ascii="Times New Roman" w:eastAsia="Times New Roman" w:hAnsi="Times New Roman" w:cs="Times New Roman"/>
          <w:sz w:val="24"/>
          <w:szCs w:val="24"/>
          <w:lang w:val="en"/>
        </w:rPr>
        <w:t xml:space="preserve">I was only sure of this phenomenon based on the students who shared their circumstances with me; therefore, the purpose for my survey was simply to confirm my theory. In the past, I have negotiated these matters by </w:t>
      </w:r>
      <w:r w:rsidR="00FB4F54">
        <w:rPr>
          <w:rFonts w:ascii="Times New Roman" w:eastAsia="Times New Roman" w:hAnsi="Times New Roman" w:cs="Times New Roman"/>
          <w:sz w:val="24"/>
          <w:szCs w:val="24"/>
          <w:lang w:val="en"/>
        </w:rPr>
        <w:t>let</w:t>
      </w:r>
      <w:r w:rsidR="000D231C">
        <w:rPr>
          <w:rFonts w:ascii="Times New Roman" w:eastAsia="Times New Roman" w:hAnsi="Times New Roman" w:cs="Times New Roman"/>
          <w:sz w:val="24"/>
          <w:szCs w:val="24"/>
          <w:lang w:val="en"/>
        </w:rPr>
        <w:t>ting</w:t>
      </w:r>
      <w:r w:rsidR="00FB4F54">
        <w:rPr>
          <w:rFonts w:ascii="Times New Roman" w:eastAsia="Times New Roman" w:hAnsi="Times New Roman" w:cs="Times New Roman"/>
          <w:sz w:val="24"/>
          <w:szCs w:val="24"/>
          <w:lang w:val="en"/>
        </w:rPr>
        <w:t xml:space="preserve"> absences slide and extend</w:t>
      </w:r>
      <w:r w:rsidR="000D231C">
        <w:rPr>
          <w:rFonts w:ascii="Times New Roman" w:eastAsia="Times New Roman" w:hAnsi="Times New Roman" w:cs="Times New Roman"/>
          <w:sz w:val="24"/>
          <w:szCs w:val="24"/>
          <w:lang w:val="en"/>
        </w:rPr>
        <w:t>ing</w:t>
      </w:r>
      <w:r w:rsidR="00FB4F54">
        <w:rPr>
          <w:rFonts w:ascii="Times New Roman" w:eastAsia="Times New Roman" w:hAnsi="Times New Roman" w:cs="Times New Roman"/>
          <w:sz w:val="24"/>
          <w:szCs w:val="24"/>
          <w:lang w:val="en"/>
        </w:rPr>
        <w:t xml:space="preserve"> due dates in an effort to prevent students who face financial emergencies from dropping out.</w:t>
      </w:r>
      <w:r w:rsidR="000D231C">
        <w:rPr>
          <w:rFonts w:ascii="Times New Roman" w:eastAsia="Times New Roman" w:hAnsi="Times New Roman" w:cs="Times New Roman"/>
          <w:sz w:val="24"/>
          <w:szCs w:val="24"/>
          <w:lang w:val="en"/>
        </w:rPr>
        <w:t xml:space="preserve"> While the affected students </w:t>
      </w:r>
      <w:r w:rsidR="00652FCC">
        <w:rPr>
          <w:rFonts w:ascii="Times New Roman" w:eastAsia="Times New Roman" w:hAnsi="Times New Roman" w:cs="Times New Roman"/>
          <w:sz w:val="24"/>
          <w:szCs w:val="24"/>
          <w:lang w:val="en"/>
        </w:rPr>
        <w:t>did indeed finish</w:t>
      </w:r>
      <w:r w:rsidR="000D231C">
        <w:rPr>
          <w:rFonts w:ascii="Times New Roman" w:eastAsia="Times New Roman" w:hAnsi="Times New Roman" w:cs="Times New Roman"/>
          <w:sz w:val="24"/>
          <w:szCs w:val="24"/>
          <w:lang w:val="en"/>
        </w:rPr>
        <w:t xml:space="preserve"> my class, I am doubtful that many of them persisted further</w:t>
      </w:r>
      <w:r w:rsidR="00C34337">
        <w:rPr>
          <w:rFonts w:ascii="Times New Roman" w:eastAsia="Times New Roman" w:hAnsi="Times New Roman" w:cs="Times New Roman"/>
          <w:sz w:val="24"/>
          <w:szCs w:val="24"/>
          <w:lang w:val="en"/>
        </w:rPr>
        <w:t>, and certainly, a greater solution is necessary, which must come from the formal leaders in the college</w:t>
      </w:r>
      <w:r w:rsidR="000D231C">
        <w:rPr>
          <w:rFonts w:ascii="Times New Roman" w:eastAsia="Times New Roman" w:hAnsi="Times New Roman" w:cs="Times New Roman"/>
          <w:sz w:val="24"/>
          <w:szCs w:val="24"/>
          <w:lang w:val="en"/>
        </w:rPr>
        <w:t xml:space="preserve">. </w:t>
      </w:r>
    </w:p>
    <w:p w:rsidR="00DE035B" w:rsidRDefault="00C34337" w:rsidP="00C34337">
      <w:pPr>
        <w:spacing w:after="0" w:line="480" w:lineRule="auto"/>
        <w:ind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t>A</w:t>
      </w:r>
      <w:r w:rsidR="0020144B">
        <w:rPr>
          <w:rFonts w:ascii="Times New Roman" w:eastAsia="Times New Roman" w:hAnsi="Times New Roman" w:cs="Times New Roman"/>
          <w:sz w:val="24"/>
          <w:szCs w:val="24"/>
          <w:lang w:val="en"/>
        </w:rPr>
        <w:t xml:space="preserve">dministrators, especially when they are asked to throw money at a problem, do not value </w:t>
      </w:r>
      <w:r>
        <w:rPr>
          <w:rFonts w:ascii="Times New Roman" w:eastAsia="Times New Roman" w:hAnsi="Times New Roman" w:cs="Times New Roman"/>
          <w:sz w:val="24"/>
          <w:szCs w:val="24"/>
          <w:lang w:val="en"/>
        </w:rPr>
        <w:t>independent, informal surveys</w:t>
      </w:r>
      <w:r w:rsidR="0020144B">
        <w:rPr>
          <w:rFonts w:ascii="Times New Roman" w:eastAsia="Times New Roman" w:hAnsi="Times New Roman" w:cs="Times New Roman"/>
          <w:sz w:val="24"/>
          <w:szCs w:val="24"/>
          <w:lang w:val="en"/>
        </w:rPr>
        <w:t xml:space="preserve"> </w:t>
      </w:r>
      <w:r w:rsidR="00742574">
        <w:rPr>
          <w:rFonts w:ascii="Times New Roman" w:eastAsia="Times New Roman" w:hAnsi="Times New Roman" w:cs="Times New Roman"/>
          <w:sz w:val="24"/>
          <w:szCs w:val="24"/>
          <w:lang w:val="en"/>
        </w:rPr>
        <w:t xml:space="preserve">as </w:t>
      </w:r>
      <w:r w:rsidR="002B291C">
        <w:rPr>
          <w:rFonts w:ascii="Times New Roman" w:eastAsia="Times New Roman" w:hAnsi="Times New Roman" w:cs="Times New Roman"/>
          <w:sz w:val="24"/>
          <w:szCs w:val="24"/>
          <w:lang w:val="en"/>
        </w:rPr>
        <w:t>a</w:t>
      </w:r>
      <w:r w:rsidR="00742574">
        <w:rPr>
          <w:rFonts w:ascii="Times New Roman" w:eastAsia="Times New Roman" w:hAnsi="Times New Roman" w:cs="Times New Roman"/>
          <w:sz w:val="24"/>
          <w:szCs w:val="24"/>
          <w:lang w:val="en"/>
        </w:rPr>
        <w:t xml:space="preserve"> means of assessing a problem </w:t>
      </w:r>
      <w:r w:rsidR="0020144B">
        <w:rPr>
          <w:rFonts w:ascii="Times New Roman" w:eastAsia="Times New Roman" w:hAnsi="Times New Roman" w:cs="Times New Roman"/>
          <w:sz w:val="24"/>
          <w:szCs w:val="24"/>
          <w:lang w:val="en"/>
        </w:rPr>
        <w:t xml:space="preserve">and demand </w:t>
      </w:r>
      <w:r>
        <w:rPr>
          <w:rFonts w:ascii="Times New Roman" w:eastAsia="Times New Roman" w:hAnsi="Times New Roman" w:cs="Times New Roman"/>
          <w:sz w:val="24"/>
          <w:szCs w:val="24"/>
          <w:lang w:val="en"/>
        </w:rPr>
        <w:t>concrete</w:t>
      </w:r>
      <w:r w:rsidR="0020144B">
        <w:rPr>
          <w:rFonts w:ascii="Times New Roman" w:eastAsia="Times New Roman" w:hAnsi="Times New Roman" w:cs="Times New Roman"/>
          <w:sz w:val="24"/>
          <w:szCs w:val="24"/>
          <w:lang w:val="en"/>
        </w:rPr>
        <w:t xml:space="preserve"> data. </w:t>
      </w:r>
      <w:r>
        <w:rPr>
          <w:rFonts w:ascii="Times New Roman" w:eastAsia="Times New Roman" w:hAnsi="Times New Roman" w:cs="Times New Roman"/>
          <w:sz w:val="24"/>
          <w:szCs w:val="24"/>
          <w:lang w:val="en"/>
        </w:rPr>
        <w:t xml:space="preserve"> </w:t>
      </w:r>
      <w:r w:rsidR="002B291C">
        <w:rPr>
          <w:rFonts w:ascii="Times New Roman" w:eastAsia="Times New Roman" w:hAnsi="Times New Roman" w:cs="Times New Roman"/>
          <w:sz w:val="24"/>
          <w:szCs w:val="24"/>
          <w:lang w:val="en"/>
        </w:rPr>
        <w:t xml:space="preserve">While more extensive research needs to be completed before establishing a specialized emergency fund at Wake Tech, current numbers, a result of aggregated responses from the years 2006 to 2010, indicate that an emergency fund could be one viable answer for lowering the attrition rate. </w:t>
      </w:r>
      <w:r w:rsidR="00985E8B">
        <w:rPr>
          <w:rFonts w:ascii="Times New Roman" w:eastAsia="Times New Roman" w:hAnsi="Times New Roman" w:cs="Times New Roman"/>
          <w:sz w:val="24"/>
          <w:szCs w:val="24"/>
          <w:lang w:val="en"/>
        </w:rPr>
        <w:t xml:space="preserve">Data </w:t>
      </w:r>
      <w:r w:rsidR="00B36FFD">
        <w:rPr>
          <w:rFonts w:ascii="Times New Roman" w:eastAsia="Times New Roman" w:hAnsi="Times New Roman" w:cs="Times New Roman"/>
          <w:sz w:val="24"/>
          <w:szCs w:val="24"/>
          <w:lang w:val="en"/>
        </w:rPr>
        <w:t xml:space="preserve">from Wake Technical Community College reveals that only 9% of students complete a terminal degree. This number does not take into account students who </w:t>
      </w:r>
      <w:r w:rsidR="008C0777">
        <w:rPr>
          <w:rFonts w:ascii="Times New Roman" w:eastAsia="Times New Roman" w:hAnsi="Times New Roman" w:cs="Times New Roman"/>
          <w:sz w:val="24"/>
          <w:szCs w:val="24"/>
          <w:lang w:val="en"/>
        </w:rPr>
        <w:t>transferred</w:t>
      </w:r>
      <w:r w:rsidR="00B36FFD">
        <w:rPr>
          <w:rFonts w:ascii="Times New Roman" w:eastAsia="Times New Roman" w:hAnsi="Times New Roman" w:cs="Times New Roman"/>
          <w:sz w:val="24"/>
          <w:szCs w:val="24"/>
          <w:lang w:val="en"/>
        </w:rPr>
        <w:t xml:space="preserve"> to another college</w:t>
      </w:r>
      <w:r w:rsidR="008C0777">
        <w:rPr>
          <w:rFonts w:ascii="Times New Roman" w:eastAsia="Times New Roman" w:hAnsi="Times New Roman" w:cs="Times New Roman"/>
          <w:sz w:val="24"/>
          <w:szCs w:val="24"/>
          <w:lang w:val="en"/>
        </w:rPr>
        <w:t xml:space="preserve"> outside of the UNC System</w:t>
      </w:r>
      <w:r w:rsidR="00B36FFD">
        <w:rPr>
          <w:rFonts w:ascii="Times New Roman" w:eastAsia="Times New Roman" w:hAnsi="Times New Roman" w:cs="Times New Roman"/>
          <w:sz w:val="24"/>
          <w:szCs w:val="24"/>
          <w:lang w:val="en"/>
        </w:rPr>
        <w:t xml:space="preserve"> and graduate</w:t>
      </w:r>
      <w:r w:rsidR="008C0777">
        <w:rPr>
          <w:rFonts w:ascii="Times New Roman" w:eastAsia="Times New Roman" w:hAnsi="Times New Roman" w:cs="Times New Roman"/>
          <w:sz w:val="24"/>
          <w:szCs w:val="24"/>
          <w:lang w:val="en"/>
        </w:rPr>
        <w:t>d</w:t>
      </w:r>
      <w:r w:rsidR="00B36FFD">
        <w:rPr>
          <w:rFonts w:ascii="Times New Roman" w:eastAsia="Times New Roman" w:hAnsi="Times New Roman" w:cs="Times New Roman"/>
          <w:sz w:val="24"/>
          <w:szCs w:val="24"/>
          <w:lang w:val="en"/>
        </w:rPr>
        <w:t xml:space="preserve"> with a degree. Of students who dropped out of college, </w:t>
      </w:r>
      <w:r w:rsidR="008C0777">
        <w:rPr>
          <w:rFonts w:ascii="Times New Roman" w:eastAsia="Times New Roman" w:hAnsi="Times New Roman" w:cs="Times New Roman"/>
          <w:sz w:val="24"/>
          <w:szCs w:val="24"/>
          <w:lang w:val="en"/>
        </w:rPr>
        <w:t>33 %</w:t>
      </w:r>
      <w:r w:rsidR="00B36FFD">
        <w:rPr>
          <w:rFonts w:ascii="Times New Roman" w:eastAsia="Times New Roman" w:hAnsi="Times New Roman" w:cs="Times New Roman"/>
          <w:sz w:val="24"/>
          <w:szCs w:val="24"/>
          <w:lang w:val="en"/>
        </w:rPr>
        <w:t xml:space="preserve"> percent </w:t>
      </w:r>
      <w:r w:rsidR="008C0777">
        <w:rPr>
          <w:rFonts w:ascii="Times New Roman" w:eastAsia="Times New Roman" w:hAnsi="Times New Roman" w:cs="Times New Roman"/>
          <w:sz w:val="24"/>
          <w:szCs w:val="24"/>
          <w:lang w:val="en"/>
        </w:rPr>
        <w:t>said</w:t>
      </w:r>
      <w:r w:rsidR="00B36FFD">
        <w:rPr>
          <w:rFonts w:ascii="Times New Roman" w:eastAsia="Times New Roman" w:hAnsi="Times New Roman" w:cs="Times New Roman"/>
          <w:sz w:val="24"/>
          <w:szCs w:val="24"/>
          <w:lang w:val="en"/>
        </w:rPr>
        <w:t xml:space="preserve"> they dropped out for personal reasons</w:t>
      </w:r>
      <w:r w:rsidR="004D58A9">
        <w:rPr>
          <w:rFonts w:ascii="Times New Roman" w:eastAsia="Times New Roman" w:hAnsi="Times New Roman" w:cs="Times New Roman"/>
          <w:sz w:val="24"/>
          <w:szCs w:val="24"/>
          <w:lang w:val="en"/>
        </w:rPr>
        <w:t>,</w:t>
      </w:r>
      <w:r w:rsidR="00B36FFD">
        <w:rPr>
          <w:rFonts w:ascii="Times New Roman" w:eastAsia="Times New Roman" w:hAnsi="Times New Roman" w:cs="Times New Roman"/>
          <w:sz w:val="24"/>
          <w:szCs w:val="24"/>
          <w:lang w:val="en"/>
        </w:rPr>
        <w:t xml:space="preserve"> including </w:t>
      </w:r>
      <w:r w:rsidR="008C0777">
        <w:rPr>
          <w:rFonts w:ascii="Times New Roman" w:eastAsia="Times New Roman" w:hAnsi="Times New Roman" w:cs="Times New Roman"/>
          <w:sz w:val="24"/>
          <w:szCs w:val="24"/>
          <w:lang w:val="en"/>
        </w:rPr>
        <w:t>childcare, medical, and family issues; 17% cited job conflicts or new employment as their reason for leaving school, and 14% reported financial hardship as their primary reason for dropping out</w:t>
      </w:r>
      <w:r w:rsidR="00B36FFD">
        <w:rPr>
          <w:rFonts w:ascii="Times New Roman" w:eastAsia="Times New Roman" w:hAnsi="Times New Roman" w:cs="Times New Roman"/>
          <w:sz w:val="24"/>
          <w:szCs w:val="24"/>
          <w:lang w:val="en"/>
        </w:rPr>
        <w:t xml:space="preserve">. </w:t>
      </w:r>
      <w:r w:rsidR="008C0777">
        <w:rPr>
          <w:rFonts w:ascii="Times New Roman" w:eastAsia="Times New Roman" w:hAnsi="Times New Roman" w:cs="Times New Roman"/>
          <w:sz w:val="24"/>
          <w:szCs w:val="24"/>
          <w:lang w:val="en"/>
        </w:rPr>
        <w:t xml:space="preserve">While financial hardship was </w:t>
      </w:r>
      <w:r w:rsidR="00DE035B">
        <w:rPr>
          <w:rFonts w:ascii="Times New Roman" w:eastAsia="Times New Roman" w:hAnsi="Times New Roman" w:cs="Times New Roman"/>
          <w:sz w:val="24"/>
          <w:szCs w:val="24"/>
          <w:lang w:val="en"/>
        </w:rPr>
        <w:t xml:space="preserve">presented as </w:t>
      </w:r>
      <w:r w:rsidR="008C0777">
        <w:rPr>
          <w:rFonts w:ascii="Times New Roman" w:eastAsia="Times New Roman" w:hAnsi="Times New Roman" w:cs="Times New Roman"/>
          <w:sz w:val="24"/>
          <w:szCs w:val="24"/>
          <w:lang w:val="en"/>
        </w:rPr>
        <w:t>a separate category in the survey of non-completers</w:t>
      </w:r>
      <w:r w:rsidR="00DE035B">
        <w:rPr>
          <w:rFonts w:ascii="Times New Roman" w:eastAsia="Times New Roman" w:hAnsi="Times New Roman" w:cs="Times New Roman"/>
          <w:sz w:val="24"/>
          <w:szCs w:val="24"/>
          <w:lang w:val="en"/>
        </w:rPr>
        <w:t xml:space="preserve"> conducted by Wake Technical Community College</w:t>
      </w:r>
      <w:r w:rsidR="008C0777">
        <w:rPr>
          <w:rFonts w:ascii="Times New Roman" w:eastAsia="Times New Roman" w:hAnsi="Times New Roman" w:cs="Times New Roman"/>
          <w:sz w:val="24"/>
          <w:szCs w:val="24"/>
          <w:lang w:val="en"/>
        </w:rPr>
        <w:t xml:space="preserve">, both </w:t>
      </w:r>
      <w:r w:rsidR="00DE035B">
        <w:rPr>
          <w:rFonts w:ascii="Times New Roman" w:eastAsia="Times New Roman" w:hAnsi="Times New Roman" w:cs="Times New Roman"/>
          <w:sz w:val="24"/>
          <w:szCs w:val="24"/>
          <w:lang w:val="en"/>
        </w:rPr>
        <w:t xml:space="preserve">the categories of </w:t>
      </w:r>
      <w:r w:rsidR="008C0777">
        <w:rPr>
          <w:rFonts w:ascii="Times New Roman" w:eastAsia="Times New Roman" w:hAnsi="Times New Roman" w:cs="Times New Roman"/>
          <w:sz w:val="24"/>
          <w:szCs w:val="24"/>
          <w:lang w:val="en"/>
        </w:rPr>
        <w:t>personal reasons and employment</w:t>
      </w:r>
      <w:r w:rsidR="00DE035B">
        <w:rPr>
          <w:rFonts w:ascii="Times New Roman" w:eastAsia="Times New Roman" w:hAnsi="Times New Roman" w:cs="Times New Roman"/>
          <w:sz w:val="24"/>
          <w:szCs w:val="24"/>
          <w:lang w:val="en"/>
        </w:rPr>
        <w:t xml:space="preserve"> reasons</w:t>
      </w:r>
      <w:r w:rsidR="008C0777">
        <w:rPr>
          <w:rFonts w:ascii="Times New Roman" w:eastAsia="Times New Roman" w:hAnsi="Times New Roman" w:cs="Times New Roman"/>
          <w:sz w:val="24"/>
          <w:szCs w:val="24"/>
          <w:lang w:val="en"/>
        </w:rPr>
        <w:t xml:space="preserve"> </w:t>
      </w:r>
      <w:r w:rsidR="00DE035B">
        <w:rPr>
          <w:rFonts w:ascii="Times New Roman" w:eastAsia="Times New Roman" w:hAnsi="Times New Roman" w:cs="Times New Roman"/>
          <w:sz w:val="24"/>
          <w:szCs w:val="24"/>
          <w:lang w:val="en"/>
        </w:rPr>
        <w:t>intersect with</w:t>
      </w:r>
      <w:r w:rsidR="008C0777">
        <w:rPr>
          <w:rFonts w:ascii="Times New Roman" w:eastAsia="Times New Roman" w:hAnsi="Times New Roman" w:cs="Times New Roman"/>
          <w:sz w:val="24"/>
          <w:szCs w:val="24"/>
          <w:lang w:val="en"/>
        </w:rPr>
        <w:t xml:space="preserve"> the financial hardship classification. </w:t>
      </w:r>
      <w:r w:rsidR="004D58A9">
        <w:rPr>
          <w:rFonts w:ascii="Times New Roman" w:eastAsia="Times New Roman" w:hAnsi="Times New Roman" w:cs="Times New Roman"/>
          <w:sz w:val="24"/>
          <w:szCs w:val="24"/>
          <w:lang w:val="en"/>
        </w:rPr>
        <w:t xml:space="preserve">With an emergency fund in place to aid in temporary situations of </w:t>
      </w:r>
      <w:r w:rsidR="00ED07BD">
        <w:rPr>
          <w:rFonts w:ascii="Times New Roman" w:eastAsia="Times New Roman" w:hAnsi="Times New Roman" w:cs="Times New Roman"/>
          <w:sz w:val="24"/>
          <w:szCs w:val="24"/>
          <w:lang w:val="en"/>
        </w:rPr>
        <w:t>financial adversity</w:t>
      </w:r>
      <w:r w:rsidR="004D58A9">
        <w:rPr>
          <w:rFonts w:ascii="Times New Roman" w:eastAsia="Times New Roman" w:hAnsi="Times New Roman" w:cs="Times New Roman"/>
          <w:sz w:val="24"/>
          <w:szCs w:val="24"/>
          <w:lang w:val="en"/>
        </w:rPr>
        <w:t xml:space="preserve">, students would be able to </w:t>
      </w:r>
      <w:r w:rsidR="00150C5C">
        <w:rPr>
          <w:rFonts w:ascii="Times New Roman" w:eastAsia="Times New Roman" w:hAnsi="Times New Roman" w:cs="Times New Roman"/>
          <w:sz w:val="24"/>
          <w:szCs w:val="24"/>
          <w:lang w:val="en"/>
        </w:rPr>
        <w:t xml:space="preserve">draw on funds immediately so that they would be able to take care of their </w:t>
      </w:r>
      <w:r w:rsidR="00DC73EA">
        <w:rPr>
          <w:rFonts w:ascii="Times New Roman" w:eastAsia="Times New Roman" w:hAnsi="Times New Roman" w:cs="Times New Roman"/>
          <w:sz w:val="24"/>
          <w:szCs w:val="24"/>
          <w:lang w:val="en"/>
        </w:rPr>
        <w:t>financial</w:t>
      </w:r>
      <w:r w:rsidR="00150C5C">
        <w:rPr>
          <w:rFonts w:ascii="Times New Roman" w:eastAsia="Times New Roman" w:hAnsi="Times New Roman" w:cs="Times New Roman"/>
          <w:sz w:val="24"/>
          <w:szCs w:val="24"/>
          <w:lang w:val="en"/>
        </w:rPr>
        <w:t xml:space="preserve"> business expeditiously and return to </w:t>
      </w:r>
      <w:r w:rsidR="008C0777">
        <w:rPr>
          <w:rFonts w:ascii="Times New Roman" w:eastAsia="Times New Roman" w:hAnsi="Times New Roman" w:cs="Times New Roman"/>
          <w:sz w:val="24"/>
          <w:szCs w:val="24"/>
          <w:lang w:val="en"/>
        </w:rPr>
        <w:t xml:space="preserve">regularly </w:t>
      </w:r>
      <w:r w:rsidR="00150C5C">
        <w:rPr>
          <w:rFonts w:ascii="Times New Roman" w:eastAsia="Times New Roman" w:hAnsi="Times New Roman" w:cs="Times New Roman"/>
          <w:sz w:val="24"/>
          <w:szCs w:val="24"/>
          <w:lang w:val="en"/>
        </w:rPr>
        <w:t>attending class</w:t>
      </w:r>
      <w:r w:rsidR="008C0777">
        <w:rPr>
          <w:rFonts w:ascii="Times New Roman" w:eastAsia="Times New Roman" w:hAnsi="Times New Roman" w:cs="Times New Roman"/>
          <w:sz w:val="24"/>
          <w:szCs w:val="24"/>
          <w:lang w:val="en"/>
        </w:rPr>
        <w:t>es</w:t>
      </w:r>
      <w:r w:rsidR="00150C5C">
        <w:rPr>
          <w:rFonts w:ascii="Times New Roman" w:eastAsia="Times New Roman" w:hAnsi="Times New Roman" w:cs="Times New Roman"/>
          <w:sz w:val="24"/>
          <w:szCs w:val="24"/>
          <w:lang w:val="en"/>
        </w:rPr>
        <w:t xml:space="preserve">. </w:t>
      </w:r>
    </w:p>
    <w:p w:rsidR="00167ADE" w:rsidRDefault="00DE035B" w:rsidP="00FE0C7D">
      <w:pPr>
        <w:autoSpaceDE w:val="0"/>
        <w:autoSpaceDN w:val="0"/>
        <w:adjustRightInd w:val="0"/>
        <w:spacing w:after="0" w:line="480" w:lineRule="auto"/>
        <w:ind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 student with a lower socioeconomic status is at a much higher risk of dropping out of school due to personal finance matters</w:t>
      </w:r>
      <w:r w:rsidR="00ED07BD">
        <w:rPr>
          <w:rFonts w:ascii="Times New Roman" w:eastAsia="Times New Roman" w:hAnsi="Times New Roman" w:cs="Times New Roman"/>
          <w:sz w:val="24"/>
          <w:szCs w:val="24"/>
          <w:lang w:val="en"/>
        </w:rPr>
        <w:t>; therefore,</w:t>
      </w:r>
      <w:r>
        <w:rPr>
          <w:rFonts w:ascii="Times New Roman" w:eastAsia="Times New Roman" w:hAnsi="Times New Roman" w:cs="Times New Roman"/>
          <w:sz w:val="24"/>
          <w:szCs w:val="24"/>
          <w:lang w:val="en"/>
        </w:rPr>
        <w:t xml:space="preserve"> an emergency fund may be one </w:t>
      </w:r>
      <w:r w:rsidR="003C3F02">
        <w:rPr>
          <w:rFonts w:ascii="Times New Roman" w:eastAsia="Times New Roman" w:hAnsi="Times New Roman" w:cs="Times New Roman"/>
          <w:sz w:val="24"/>
          <w:szCs w:val="24"/>
          <w:lang w:val="en"/>
        </w:rPr>
        <w:t>assured</w:t>
      </w:r>
      <w:r>
        <w:rPr>
          <w:rFonts w:ascii="Times New Roman" w:eastAsia="Times New Roman" w:hAnsi="Times New Roman" w:cs="Times New Roman"/>
          <w:sz w:val="24"/>
          <w:szCs w:val="24"/>
          <w:lang w:val="en"/>
        </w:rPr>
        <w:t xml:space="preserve"> way to increase the completion rate. </w:t>
      </w:r>
      <w:r w:rsidR="004624A9">
        <w:rPr>
          <w:rFonts w:ascii="Times New Roman" w:eastAsia="Times New Roman" w:hAnsi="Times New Roman" w:cs="Times New Roman"/>
          <w:sz w:val="24"/>
          <w:szCs w:val="24"/>
          <w:lang w:val="en"/>
        </w:rPr>
        <w:t xml:space="preserve"> </w:t>
      </w:r>
      <w:proofErr w:type="spellStart"/>
      <w:r w:rsidR="004624A9">
        <w:rPr>
          <w:rFonts w:ascii="Times New Roman" w:eastAsia="Times New Roman" w:hAnsi="Times New Roman" w:cs="Times New Roman"/>
          <w:sz w:val="24"/>
          <w:szCs w:val="24"/>
          <w:lang w:val="en"/>
        </w:rPr>
        <w:t>Delen</w:t>
      </w:r>
      <w:proofErr w:type="spellEnd"/>
      <w:r w:rsidR="00C16320">
        <w:rPr>
          <w:rFonts w:ascii="Times New Roman" w:eastAsia="Times New Roman" w:hAnsi="Times New Roman" w:cs="Times New Roman"/>
          <w:sz w:val="24"/>
          <w:szCs w:val="24"/>
          <w:lang w:val="en"/>
        </w:rPr>
        <w:t xml:space="preserve"> (2011)</w:t>
      </w:r>
      <w:r w:rsidR="004624A9">
        <w:rPr>
          <w:rFonts w:ascii="Times New Roman" w:eastAsia="Times New Roman" w:hAnsi="Times New Roman" w:cs="Times New Roman"/>
          <w:sz w:val="24"/>
          <w:szCs w:val="24"/>
          <w:lang w:val="en"/>
        </w:rPr>
        <w:t xml:space="preserve"> has stated that </w:t>
      </w:r>
      <w:r w:rsidR="00DC73EA">
        <w:rPr>
          <w:rFonts w:ascii="Times New Roman" w:eastAsia="Times New Roman" w:hAnsi="Times New Roman" w:cs="Times New Roman"/>
          <w:sz w:val="24"/>
          <w:szCs w:val="24"/>
          <w:lang w:val="en"/>
        </w:rPr>
        <w:t>“</w:t>
      </w:r>
      <w:r w:rsidR="00B36FFD" w:rsidRPr="00B36FFD">
        <w:rPr>
          <w:rFonts w:ascii="Times New Roman" w:eastAsia="Times New Roman" w:hAnsi="Times New Roman" w:cs="Times New Roman"/>
          <w:sz w:val="24"/>
          <w:szCs w:val="24"/>
          <w:lang w:val="en"/>
        </w:rPr>
        <w:t xml:space="preserve">Successful student retention practices </w:t>
      </w:r>
      <w:r>
        <w:rPr>
          <w:rFonts w:ascii="Times New Roman" w:eastAsia="Times New Roman" w:hAnsi="Times New Roman" w:cs="Times New Roman"/>
          <w:sz w:val="24"/>
          <w:szCs w:val="24"/>
          <w:lang w:val="en"/>
        </w:rPr>
        <w:t>use</w:t>
      </w:r>
      <w:r w:rsidR="00B36FFD" w:rsidRPr="00B36FFD">
        <w:rPr>
          <w:rFonts w:ascii="Times New Roman" w:eastAsia="Times New Roman" w:hAnsi="Times New Roman" w:cs="Times New Roman"/>
          <w:sz w:val="24"/>
          <w:szCs w:val="24"/>
          <w:lang w:val="en"/>
        </w:rPr>
        <w:t xml:space="preserve"> student characteristics to identify the at-risk students who are more likely</w:t>
      </w:r>
      <w:r w:rsidR="00DC73EA">
        <w:rPr>
          <w:rFonts w:ascii="Times New Roman" w:eastAsia="Times New Roman" w:hAnsi="Times New Roman" w:cs="Times New Roman"/>
          <w:sz w:val="24"/>
          <w:szCs w:val="24"/>
          <w:lang w:val="en"/>
        </w:rPr>
        <w:t xml:space="preserve"> </w:t>
      </w:r>
      <w:r w:rsidR="00B36FFD" w:rsidRPr="00B36FFD">
        <w:rPr>
          <w:rFonts w:ascii="Times New Roman" w:eastAsia="Times New Roman" w:hAnsi="Times New Roman" w:cs="Times New Roman"/>
          <w:sz w:val="24"/>
          <w:szCs w:val="24"/>
          <w:lang w:val="en"/>
        </w:rPr>
        <w:t>to dropout and develop effec</w:t>
      </w:r>
      <w:r w:rsidR="00DC73EA">
        <w:rPr>
          <w:rFonts w:ascii="Times New Roman" w:eastAsia="Times New Roman" w:hAnsi="Times New Roman" w:cs="Times New Roman"/>
          <w:sz w:val="24"/>
          <w:szCs w:val="24"/>
          <w:lang w:val="en"/>
        </w:rPr>
        <w:t xml:space="preserve">tive and efficient intervention </w:t>
      </w:r>
      <w:r w:rsidR="00B36FFD" w:rsidRPr="00B36FFD">
        <w:rPr>
          <w:rFonts w:ascii="Times New Roman" w:eastAsia="Times New Roman" w:hAnsi="Times New Roman" w:cs="Times New Roman"/>
          <w:sz w:val="24"/>
          <w:szCs w:val="24"/>
          <w:lang w:val="en"/>
        </w:rPr>
        <w:t>methods to retain them</w:t>
      </w:r>
      <w:r w:rsidR="00DC73EA">
        <w:rPr>
          <w:rFonts w:ascii="Times New Roman" w:eastAsia="Times New Roman" w:hAnsi="Times New Roman" w:cs="Times New Roman"/>
          <w:sz w:val="24"/>
          <w:szCs w:val="24"/>
          <w:lang w:val="en"/>
        </w:rPr>
        <w:t>” (</w:t>
      </w:r>
      <w:r w:rsidR="004624A9">
        <w:rPr>
          <w:rFonts w:ascii="Times New Roman" w:eastAsia="Times New Roman" w:hAnsi="Times New Roman" w:cs="Times New Roman"/>
          <w:sz w:val="24"/>
          <w:szCs w:val="24"/>
          <w:lang w:val="en"/>
        </w:rPr>
        <w:t>p.</w:t>
      </w:r>
      <w:r w:rsidR="00DC73EA">
        <w:rPr>
          <w:rFonts w:ascii="Times New Roman" w:eastAsia="Times New Roman" w:hAnsi="Times New Roman" w:cs="Times New Roman"/>
          <w:sz w:val="24"/>
          <w:szCs w:val="24"/>
          <w:lang w:val="en"/>
        </w:rPr>
        <w:t xml:space="preserve"> 32)</w:t>
      </w:r>
      <w:r w:rsidR="00B36FFD">
        <w:rPr>
          <w:rFonts w:ascii="Times New Roman" w:eastAsia="Times New Roman" w:hAnsi="Times New Roman" w:cs="Times New Roman"/>
          <w:sz w:val="24"/>
          <w:szCs w:val="24"/>
          <w:lang w:val="en"/>
        </w:rPr>
        <w:t xml:space="preserve">. </w:t>
      </w:r>
      <w:r w:rsidR="00B34825">
        <w:rPr>
          <w:rFonts w:ascii="Times New Roman" w:eastAsia="Times New Roman" w:hAnsi="Times New Roman" w:cs="Times New Roman"/>
          <w:sz w:val="24"/>
          <w:szCs w:val="24"/>
          <w:lang w:val="en"/>
        </w:rPr>
        <w:t xml:space="preserve">Identifying much of the at-risk population as low-income is a salient notion, which justifies a practical intervention </w:t>
      </w:r>
      <w:r w:rsidR="00B34825">
        <w:rPr>
          <w:rFonts w:ascii="Times New Roman" w:eastAsia="Times New Roman" w:hAnsi="Times New Roman" w:cs="Times New Roman"/>
          <w:sz w:val="24"/>
          <w:szCs w:val="24"/>
          <w:lang w:val="en"/>
        </w:rPr>
        <w:lastRenderedPageBreak/>
        <w:t>method of r</w:t>
      </w:r>
      <w:r w:rsidR="00035512">
        <w:rPr>
          <w:rFonts w:ascii="Times New Roman" w:eastAsia="Times New Roman" w:hAnsi="Times New Roman" w:cs="Times New Roman"/>
          <w:sz w:val="24"/>
          <w:szCs w:val="24"/>
          <w:lang w:val="en"/>
        </w:rPr>
        <w:t>eleasing nominal reserves to low-income students so that they can attend class</w:t>
      </w:r>
      <w:r w:rsidR="00B34825">
        <w:rPr>
          <w:rFonts w:ascii="Times New Roman" w:eastAsia="Times New Roman" w:hAnsi="Times New Roman" w:cs="Times New Roman"/>
          <w:sz w:val="24"/>
          <w:szCs w:val="24"/>
          <w:lang w:val="en"/>
        </w:rPr>
        <w:t xml:space="preserve"> and dismiss the ancillary financial burden that is preventing them from doing so</w:t>
      </w:r>
      <w:r w:rsidR="00035512">
        <w:rPr>
          <w:rFonts w:ascii="Times New Roman" w:eastAsia="Times New Roman" w:hAnsi="Times New Roman" w:cs="Times New Roman"/>
          <w:sz w:val="24"/>
          <w:szCs w:val="24"/>
          <w:lang w:val="en"/>
        </w:rPr>
        <w:t xml:space="preserve">. </w:t>
      </w:r>
      <w:r w:rsidR="00781847">
        <w:rPr>
          <w:rFonts w:ascii="Times New Roman" w:eastAsia="Times New Roman" w:hAnsi="Times New Roman" w:cs="Times New Roman"/>
          <w:sz w:val="24"/>
          <w:szCs w:val="24"/>
          <w:lang w:val="en"/>
        </w:rPr>
        <w:t xml:space="preserve">Of course, I am not suggesting that the only measure an institution must take to lower the attrition rate is to establish an emergency fund. I am simply proposing that if it is </w:t>
      </w:r>
      <w:r w:rsidR="0050773D">
        <w:rPr>
          <w:rFonts w:ascii="Times New Roman" w:eastAsia="Times New Roman" w:hAnsi="Times New Roman" w:cs="Times New Roman"/>
          <w:sz w:val="24"/>
          <w:szCs w:val="24"/>
          <w:lang w:val="en"/>
        </w:rPr>
        <w:t>evident</w:t>
      </w:r>
      <w:r w:rsidR="00781847">
        <w:rPr>
          <w:rFonts w:ascii="Times New Roman" w:eastAsia="Times New Roman" w:hAnsi="Times New Roman" w:cs="Times New Roman"/>
          <w:sz w:val="24"/>
          <w:szCs w:val="24"/>
          <w:lang w:val="en"/>
        </w:rPr>
        <w:t xml:space="preserve"> that one of the reasons students drop out is personal financial need, then establishing the fund could solve one problem related to retention.  </w:t>
      </w:r>
      <w:r w:rsidR="00F76E86">
        <w:rPr>
          <w:rFonts w:ascii="Times New Roman" w:eastAsia="Times New Roman" w:hAnsi="Times New Roman" w:cs="Times New Roman"/>
          <w:sz w:val="24"/>
          <w:szCs w:val="24"/>
          <w:lang w:val="en"/>
        </w:rPr>
        <w:t xml:space="preserve">However, students who find themselves in a constant state of financial catastrophe would not gain relief from the emergency fund. </w:t>
      </w:r>
      <w:r w:rsidR="00D234CA">
        <w:rPr>
          <w:rFonts w:ascii="Times New Roman" w:eastAsia="Times New Roman" w:hAnsi="Times New Roman" w:cs="Times New Roman"/>
          <w:sz w:val="24"/>
          <w:szCs w:val="24"/>
          <w:lang w:val="en"/>
        </w:rPr>
        <w:t xml:space="preserve">Burley, </w:t>
      </w:r>
      <w:proofErr w:type="spellStart"/>
      <w:proofErr w:type="gramStart"/>
      <w:r w:rsidR="00D234CA">
        <w:rPr>
          <w:rFonts w:ascii="Times New Roman" w:eastAsia="Times New Roman" w:hAnsi="Times New Roman" w:cs="Times New Roman"/>
          <w:sz w:val="24"/>
          <w:szCs w:val="24"/>
          <w:lang w:val="en"/>
        </w:rPr>
        <w:t>Butner</w:t>
      </w:r>
      <w:proofErr w:type="spellEnd"/>
      <w:r w:rsidR="00D234CA">
        <w:rPr>
          <w:rFonts w:ascii="Times New Roman" w:eastAsia="Times New Roman" w:hAnsi="Times New Roman" w:cs="Times New Roman"/>
          <w:sz w:val="24"/>
          <w:szCs w:val="24"/>
          <w:lang w:val="en"/>
        </w:rPr>
        <w:t xml:space="preserve"> ,</w:t>
      </w:r>
      <w:proofErr w:type="gramEnd"/>
      <w:r w:rsidR="00D234CA">
        <w:rPr>
          <w:rFonts w:ascii="Times New Roman" w:eastAsia="Times New Roman" w:hAnsi="Times New Roman" w:cs="Times New Roman"/>
          <w:sz w:val="24"/>
          <w:szCs w:val="24"/>
          <w:lang w:val="en"/>
        </w:rPr>
        <w:t xml:space="preserve"> and </w:t>
      </w:r>
      <w:proofErr w:type="spellStart"/>
      <w:r w:rsidR="00D234CA">
        <w:rPr>
          <w:rFonts w:ascii="Times New Roman" w:eastAsia="Times New Roman" w:hAnsi="Times New Roman" w:cs="Times New Roman"/>
          <w:sz w:val="24"/>
          <w:szCs w:val="24"/>
          <w:lang w:val="en"/>
        </w:rPr>
        <w:t>Cjeda</w:t>
      </w:r>
      <w:proofErr w:type="spellEnd"/>
      <w:r w:rsidR="00D234CA">
        <w:rPr>
          <w:rFonts w:ascii="Times New Roman" w:eastAsia="Times New Roman" w:hAnsi="Times New Roman" w:cs="Times New Roman"/>
          <w:sz w:val="24"/>
          <w:szCs w:val="24"/>
          <w:lang w:val="en"/>
        </w:rPr>
        <w:t xml:space="preserve"> (2001) have noted that the majority of students who drop out are 2.5 years older than those who continuously enroll. This is another indication that an emergency fund may be able to assist these students and keep them in school. Older, non-traditional students </w:t>
      </w:r>
      <w:r w:rsidR="003C3F02">
        <w:rPr>
          <w:rFonts w:ascii="Times New Roman" w:eastAsia="Times New Roman" w:hAnsi="Times New Roman" w:cs="Times New Roman"/>
          <w:sz w:val="24"/>
          <w:szCs w:val="24"/>
          <w:lang w:val="en"/>
        </w:rPr>
        <w:t>generally</w:t>
      </w:r>
      <w:r w:rsidR="00D234CA">
        <w:rPr>
          <w:rFonts w:ascii="Times New Roman" w:eastAsia="Times New Roman" w:hAnsi="Times New Roman" w:cs="Times New Roman"/>
          <w:sz w:val="24"/>
          <w:szCs w:val="24"/>
          <w:lang w:val="en"/>
        </w:rPr>
        <w:t xml:space="preserve"> have expenses that younger students do not incur, so when an unpredicted event disrupts their fragile financial balance, they are less likely to finish college. </w:t>
      </w:r>
      <w:r w:rsidR="002A7806">
        <w:rPr>
          <w:rFonts w:ascii="Times New Roman" w:eastAsia="Times New Roman" w:hAnsi="Times New Roman" w:cs="Times New Roman"/>
          <w:sz w:val="24"/>
          <w:szCs w:val="24"/>
          <w:lang w:val="en"/>
        </w:rPr>
        <w:t xml:space="preserve">Hoyt </w:t>
      </w:r>
      <w:r w:rsidR="00C16320">
        <w:rPr>
          <w:rFonts w:ascii="Times New Roman" w:eastAsia="Times New Roman" w:hAnsi="Times New Roman" w:cs="Times New Roman"/>
          <w:sz w:val="24"/>
          <w:szCs w:val="24"/>
          <w:lang w:val="en"/>
        </w:rPr>
        <w:t xml:space="preserve">(1999) </w:t>
      </w:r>
      <w:r w:rsidR="002A7806">
        <w:rPr>
          <w:rFonts w:ascii="Times New Roman" w:eastAsia="Times New Roman" w:hAnsi="Times New Roman" w:cs="Times New Roman"/>
          <w:sz w:val="24"/>
          <w:szCs w:val="24"/>
          <w:lang w:val="en"/>
        </w:rPr>
        <w:t xml:space="preserve">has conceded that studies show </w:t>
      </w:r>
      <w:r w:rsidR="002A7806" w:rsidRPr="002A7806">
        <w:rPr>
          <w:rFonts w:ascii="Times New Roman" w:eastAsia="Times New Roman" w:hAnsi="Times New Roman" w:cs="Times New Roman"/>
          <w:sz w:val="24"/>
          <w:szCs w:val="24"/>
          <w:lang w:val="en"/>
        </w:rPr>
        <w:t xml:space="preserve">that </w:t>
      </w:r>
      <w:r w:rsidR="002A7806">
        <w:rPr>
          <w:rFonts w:ascii="Times New Roman" w:eastAsia="Times New Roman" w:hAnsi="Times New Roman" w:cs="Times New Roman"/>
          <w:sz w:val="24"/>
          <w:szCs w:val="24"/>
          <w:lang w:val="en"/>
        </w:rPr>
        <w:t>“</w:t>
      </w:r>
      <w:r w:rsidR="002A7806" w:rsidRPr="002A7806">
        <w:rPr>
          <w:rFonts w:ascii="Times New Roman" w:eastAsia="Times New Roman" w:hAnsi="Times New Roman" w:cs="Times New Roman"/>
          <w:sz w:val="24"/>
          <w:szCs w:val="24"/>
          <w:lang w:val="en"/>
        </w:rPr>
        <w:t>older students, part-time s</w:t>
      </w:r>
      <w:r w:rsidR="002A7806">
        <w:rPr>
          <w:rFonts w:ascii="Times New Roman" w:eastAsia="Times New Roman" w:hAnsi="Times New Roman" w:cs="Times New Roman"/>
          <w:sz w:val="24"/>
          <w:szCs w:val="24"/>
          <w:lang w:val="en"/>
        </w:rPr>
        <w:t xml:space="preserve">tudents, minority students, and </w:t>
      </w:r>
      <w:r w:rsidR="002A7806" w:rsidRPr="002A7806">
        <w:rPr>
          <w:rFonts w:ascii="Times New Roman" w:eastAsia="Times New Roman" w:hAnsi="Times New Roman" w:cs="Times New Roman"/>
          <w:sz w:val="24"/>
          <w:szCs w:val="24"/>
          <w:lang w:val="en"/>
        </w:rPr>
        <w:t>working adults have higher drop-out rates</w:t>
      </w:r>
      <w:r w:rsidR="002A7806">
        <w:rPr>
          <w:rFonts w:ascii="Times New Roman" w:eastAsia="Times New Roman" w:hAnsi="Times New Roman" w:cs="Times New Roman"/>
          <w:sz w:val="24"/>
          <w:szCs w:val="24"/>
          <w:lang w:val="en"/>
        </w:rPr>
        <w:t xml:space="preserve">” (p. 52).  The correlation here is </w:t>
      </w:r>
      <w:r w:rsidR="003C3F02">
        <w:rPr>
          <w:rFonts w:ascii="Times New Roman" w:eastAsia="Times New Roman" w:hAnsi="Times New Roman" w:cs="Times New Roman"/>
          <w:sz w:val="24"/>
          <w:szCs w:val="24"/>
          <w:lang w:val="en"/>
        </w:rPr>
        <w:t xml:space="preserve">purely </w:t>
      </w:r>
      <w:r w:rsidR="002A7806">
        <w:rPr>
          <w:rFonts w:ascii="Times New Roman" w:eastAsia="Times New Roman" w:hAnsi="Times New Roman" w:cs="Times New Roman"/>
          <w:sz w:val="24"/>
          <w:szCs w:val="24"/>
          <w:lang w:val="en"/>
        </w:rPr>
        <w:t xml:space="preserve">financial. In addition, Hoyt has suggested that students in need of remediation are at a higher-risk for dropping out. Usually, students in developmental education have a lower SES than students enrolled in credit hour courses. </w:t>
      </w:r>
      <w:r w:rsidR="00432C70">
        <w:rPr>
          <w:rFonts w:ascii="Times New Roman" w:eastAsia="Times New Roman" w:hAnsi="Times New Roman" w:cs="Times New Roman"/>
          <w:sz w:val="24"/>
          <w:szCs w:val="24"/>
          <w:lang w:val="en"/>
        </w:rPr>
        <w:t>Based on this information, t</w:t>
      </w:r>
      <w:r w:rsidR="00781847">
        <w:rPr>
          <w:rFonts w:ascii="Times New Roman" w:eastAsia="Times New Roman" w:hAnsi="Times New Roman" w:cs="Times New Roman"/>
          <w:sz w:val="24"/>
          <w:szCs w:val="24"/>
          <w:lang w:val="en"/>
        </w:rPr>
        <w:t xml:space="preserve">here is </w:t>
      </w:r>
      <w:r w:rsidR="0050773D">
        <w:rPr>
          <w:rFonts w:ascii="Times New Roman" w:eastAsia="Times New Roman" w:hAnsi="Times New Roman" w:cs="Times New Roman"/>
          <w:sz w:val="24"/>
          <w:szCs w:val="24"/>
          <w:lang w:val="en"/>
        </w:rPr>
        <w:t>undoubtedly</w:t>
      </w:r>
      <w:r w:rsidR="00781847">
        <w:rPr>
          <w:rFonts w:ascii="Times New Roman" w:eastAsia="Times New Roman" w:hAnsi="Times New Roman" w:cs="Times New Roman"/>
          <w:sz w:val="24"/>
          <w:szCs w:val="24"/>
          <w:lang w:val="en"/>
        </w:rPr>
        <w:t xml:space="preserve"> a need for this fund, but the next consideration is figuring out where the money will come from</w:t>
      </w:r>
      <w:r w:rsidR="0050773D">
        <w:rPr>
          <w:rFonts w:ascii="Times New Roman" w:eastAsia="Times New Roman" w:hAnsi="Times New Roman" w:cs="Times New Roman"/>
          <w:sz w:val="24"/>
          <w:szCs w:val="24"/>
          <w:lang w:val="en"/>
        </w:rPr>
        <w:t xml:space="preserve"> and how much money the fund should </w:t>
      </w:r>
      <w:r w:rsidR="00C60ABD">
        <w:rPr>
          <w:rFonts w:ascii="Times New Roman" w:eastAsia="Times New Roman" w:hAnsi="Times New Roman" w:cs="Times New Roman"/>
          <w:sz w:val="24"/>
          <w:szCs w:val="24"/>
          <w:lang w:val="en"/>
        </w:rPr>
        <w:t>retain</w:t>
      </w:r>
      <w:r w:rsidR="00781847">
        <w:rPr>
          <w:rFonts w:ascii="Times New Roman" w:eastAsia="Times New Roman" w:hAnsi="Times New Roman" w:cs="Times New Roman"/>
          <w:sz w:val="24"/>
          <w:szCs w:val="24"/>
          <w:lang w:val="en"/>
        </w:rPr>
        <w:t xml:space="preserve">. </w:t>
      </w:r>
    </w:p>
    <w:p w:rsidR="002236DB" w:rsidRDefault="0050773D" w:rsidP="00FE0C7D">
      <w:pPr>
        <w:autoSpaceDE w:val="0"/>
        <w:autoSpaceDN w:val="0"/>
        <w:adjustRightInd w:val="0"/>
        <w:spacing w:after="0" w:line="480" w:lineRule="auto"/>
        <w:ind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A look at the allocation of funds from the Wake Tech Foundation (see figure 1) reveals the possibility of redistributing </w:t>
      </w:r>
      <w:r w:rsidR="00A41858">
        <w:rPr>
          <w:rFonts w:ascii="Times New Roman" w:eastAsia="Times New Roman" w:hAnsi="Times New Roman" w:cs="Times New Roman"/>
          <w:sz w:val="24"/>
          <w:szCs w:val="24"/>
          <w:lang w:val="en"/>
        </w:rPr>
        <w:t xml:space="preserve">some </w:t>
      </w:r>
      <w:r>
        <w:rPr>
          <w:rFonts w:ascii="Times New Roman" w:eastAsia="Times New Roman" w:hAnsi="Times New Roman" w:cs="Times New Roman"/>
          <w:sz w:val="24"/>
          <w:szCs w:val="24"/>
          <w:lang w:val="en"/>
        </w:rPr>
        <w:t xml:space="preserve">money to establish the emergency fund. </w:t>
      </w:r>
      <w:r w:rsidR="002236DB">
        <w:rPr>
          <w:rFonts w:ascii="Times New Roman" w:eastAsia="Times New Roman" w:hAnsi="Times New Roman" w:cs="Times New Roman"/>
          <w:sz w:val="24"/>
          <w:szCs w:val="24"/>
        </w:rPr>
        <w:t>I</w:t>
      </w:r>
      <w:r w:rsidR="006E5CAB">
        <w:rPr>
          <w:rFonts w:ascii="Times New Roman" w:eastAsia="Times New Roman" w:hAnsi="Times New Roman" w:cs="Times New Roman"/>
          <w:sz w:val="24"/>
          <w:szCs w:val="24"/>
        </w:rPr>
        <w:t>n my</w:t>
      </w:r>
      <w:r w:rsidR="002236DB">
        <w:rPr>
          <w:rFonts w:ascii="Times New Roman" w:eastAsia="Times New Roman" w:hAnsi="Times New Roman" w:cs="Times New Roman"/>
          <w:sz w:val="24"/>
          <w:szCs w:val="24"/>
        </w:rPr>
        <w:t xml:space="preserve"> </w:t>
      </w:r>
      <w:r w:rsidR="006E5CAB">
        <w:rPr>
          <w:rFonts w:ascii="Times New Roman" w:eastAsia="Times New Roman" w:hAnsi="Times New Roman" w:cs="Times New Roman"/>
          <w:sz w:val="24"/>
          <w:szCs w:val="24"/>
        </w:rPr>
        <w:t>estimation, based solely on my own experience in the classroom,</w:t>
      </w:r>
      <w:r w:rsidR="002236DB">
        <w:rPr>
          <w:rFonts w:ascii="Times New Roman" w:eastAsia="Times New Roman" w:hAnsi="Times New Roman" w:cs="Times New Roman"/>
          <w:sz w:val="24"/>
          <w:szCs w:val="24"/>
        </w:rPr>
        <w:t xml:space="preserve"> approximately </w:t>
      </w:r>
      <w:r w:rsidR="006C76A8">
        <w:rPr>
          <w:rFonts w:ascii="Times New Roman" w:eastAsia="Times New Roman" w:hAnsi="Times New Roman" w:cs="Times New Roman"/>
          <w:sz w:val="24"/>
          <w:szCs w:val="24"/>
        </w:rPr>
        <w:t>36</w:t>
      </w:r>
      <w:r w:rsidR="002236DB">
        <w:rPr>
          <w:rFonts w:ascii="Times New Roman" w:eastAsia="Times New Roman" w:hAnsi="Times New Roman" w:cs="Times New Roman"/>
          <w:sz w:val="24"/>
          <w:szCs w:val="24"/>
        </w:rPr>
        <w:t xml:space="preserve">% of low income students experience a true economic hardship that prevents them from attending class. </w:t>
      </w:r>
      <w:r w:rsidR="006E5CAB">
        <w:rPr>
          <w:rFonts w:ascii="Times New Roman" w:eastAsia="Times New Roman" w:hAnsi="Times New Roman" w:cs="Times New Roman"/>
          <w:sz w:val="24"/>
          <w:szCs w:val="24"/>
        </w:rPr>
        <w:t xml:space="preserve">However, more research is necessary to generate an accurate representation of the percentage college-wide. </w:t>
      </w:r>
      <w:r w:rsidR="002236DB">
        <w:rPr>
          <w:rFonts w:ascii="Times New Roman" w:eastAsia="Times New Roman" w:hAnsi="Times New Roman" w:cs="Times New Roman"/>
          <w:sz w:val="24"/>
          <w:szCs w:val="24"/>
        </w:rPr>
        <w:lastRenderedPageBreak/>
        <w:t>Generally, the cost of the hardship is less than $</w:t>
      </w:r>
      <w:r w:rsidR="00C16320">
        <w:rPr>
          <w:rFonts w:ascii="Times New Roman" w:eastAsia="Times New Roman" w:hAnsi="Times New Roman" w:cs="Times New Roman"/>
          <w:sz w:val="24"/>
          <w:szCs w:val="24"/>
        </w:rPr>
        <w:t>3</w:t>
      </w:r>
      <w:r w:rsidR="002236DB">
        <w:rPr>
          <w:rFonts w:ascii="Times New Roman" w:eastAsia="Times New Roman" w:hAnsi="Times New Roman" w:cs="Times New Roman"/>
          <w:sz w:val="24"/>
          <w:szCs w:val="24"/>
        </w:rPr>
        <w:t>00</w:t>
      </w:r>
      <w:r w:rsidR="0019525D">
        <w:rPr>
          <w:rFonts w:ascii="Times New Roman" w:eastAsia="Times New Roman" w:hAnsi="Times New Roman" w:cs="Times New Roman"/>
          <w:sz w:val="24"/>
          <w:szCs w:val="24"/>
        </w:rPr>
        <w:t>; thus</w:t>
      </w:r>
      <w:r w:rsidR="002236DB">
        <w:rPr>
          <w:rFonts w:ascii="Times New Roman" w:eastAsia="Times New Roman" w:hAnsi="Times New Roman" w:cs="Times New Roman"/>
          <w:sz w:val="24"/>
          <w:szCs w:val="24"/>
        </w:rPr>
        <w:t xml:space="preserve"> if a fund was set up that limited students to a maximum disbursement of $</w:t>
      </w:r>
      <w:r w:rsidR="00C16320">
        <w:rPr>
          <w:rFonts w:ascii="Times New Roman" w:eastAsia="Times New Roman" w:hAnsi="Times New Roman" w:cs="Times New Roman"/>
          <w:sz w:val="24"/>
          <w:szCs w:val="24"/>
        </w:rPr>
        <w:t>5</w:t>
      </w:r>
      <w:r w:rsidR="002236DB">
        <w:rPr>
          <w:rFonts w:ascii="Times New Roman" w:eastAsia="Times New Roman" w:hAnsi="Times New Roman" w:cs="Times New Roman"/>
          <w:sz w:val="24"/>
          <w:szCs w:val="24"/>
        </w:rPr>
        <w:t>00 per academic year for a qualified hardship, the fund could hold $</w:t>
      </w:r>
      <w:r w:rsidR="00C16320">
        <w:rPr>
          <w:rFonts w:ascii="Times New Roman" w:eastAsia="Times New Roman" w:hAnsi="Times New Roman" w:cs="Times New Roman"/>
          <w:sz w:val="24"/>
          <w:szCs w:val="24"/>
        </w:rPr>
        <w:t>100</w:t>
      </w:r>
      <w:r w:rsidR="002236DB">
        <w:rPr>
          <w:rFonts w:ascii="Times New Roman" w:eastAsia="Times New Roman" w:hAnsi="Times New Roman" w:cs="Times New Roman"/>
          <w:sz w:val="24"/>
          <w:szCs w:val="24"/>
        </w:rPr>
        <w:t xml:space="preserve">,000 and </w:t>
      </w:r>
      <w:r w:rsidR="0019525D">
        <w:rPr>
          <w:rFonts w:ascii="Times New Roman" w:eastAsia="Times New Roman" w:hAnsi="Times New Roman" w:cs="Times New Roman"/>
          <w:sz w:val="24"/>
          <w:szCs w:val="24"/>
        </w:rPr>
        <w:t xml:space="preserve">could </w:t>
      </w:r>
      <w:r w:rsidR="002236DB">
        <w:rPr>
          <w:rFonts w:ascii="Times New Roman" w:eastAsia="Times New Roman" w:hAnsi="Times New Roman" w:cs="Times New Roman"/>
          <w:sz w:val="24"/>
          <w:szCs w:val="24"/>
        </w:rPr>
        <w:t xml:space="preserve">be able to assist 200 students per year. </w:t>
      </w:r>
      <w:r w:rsidR="00C16320">
        <w:rPr>
          <w:rFonts w:ascii="Times New Roman" w:eastAsia="Times New Roman" w:hAnsi="Times New Roman" w:cs="Times New Roman"/>
          <w:sz w:val="24"/>
          <w:szCs w:val="24"/>
        </w:rPr>
        <w:t>Surely</w:t>
      </w:r>
      <w:r w:rsidR="00C75E53">
        <w:rPr>
          <w:rFonts w:ascii="Times New Roman" w:eastAsia="Times New Roman" w:hAnsi="Times New Roman" w:cs="Times New Roman"/>
          <w:sz w:val="24"/>
          <w:szCs w:val="24"/>
        </w:rPr>
        <w:t xml:space="preserve">, there </w:t>
      </w:r>
      <w:r w:rsidR="00C16320">
        <w:rPr>
          <w:rFonts w:ascii="Times New Roman" w:eastAsia="Times New Roman" w:hAnsi="Times New Roman" w:cs="Times New Roman"/>
          <w:sz w:val="24"/>
          <w:szCs w:val="24"/>
        </w:rPr>
        <w:t>would</w:t>
      </w:r>
      <w:r w:rsidR="00C75E53">
        <w:rPr>
          <w:rFonts w:ascii="Times New Roman" w:eastAsia="Times New Roman" w:hAnsi="Times New Roman" w:cs="Times New Roman"/>
          <w:sz w:val="24"/>
          <w:szCs w:val="24"/>
        </w:rPr>
        <w:t xml:space="preserve"> be </w:t>
      </w:r>
      <w:r w:rsidR="00167ADE">
        <w:rPr>
          <w:rFonts w:ascii="Times New Roman" w:eastAsia="Times New Roman" w:hAnsi="Times New Roman" w:cs="Times New Roman"/>
          <w:sz w:val="24"/>
          <w:szCs w:val="24"/>
        </w:rPr>
        <w:t>subsidiary</w:t>
      </w:r>
      <w:r w:rsidR="00C75E53">
        <w:rPr>
          <w:rFonts w:ascii="Times New Roman" w:eastAsia="Times New Roman" w:hAnsi="Times New Roman" w:cs="Times New Roman"/>
          <w:sz w:val="24"/>
          <w:szCs w:val="24"/>
        </w:rPr>
        <w:t xml:space="preserve"> costs involved in both processing applications and verifying expenses as well as in issuing funds</w:t>
      </w:r>
      <w:r w:rsidR="00167ADE">
        <w:rPr>
          <w:rFonts w:ascii="Times New Roman" w:eastAsia="Times New Roman" w:hAnsi="Times New Roman" w:cs="Times New Roman"/>
          <w:sz w:val="24"/>
          <w:szCs w:val="24"/>
        </w:rPr>
        <w:t>, but i</w:t>
      </w:r>
      <w:r w:rsidR="002236DB">
        <w:rPr>
          <w:rFonts w:ascii="Times New Roman" w:eastAsia="Times New Roman" w:hAnsi="Times New Roman" w:cs="Times New Roman"/>
          <w:sz w:val="24"/>
          <w:szCs w:val="24"/>
        </w:rPr>
        <w:t xml:space="preserve">f the </w:t>
      </w:r>
      <w:r w:rsidR="0019525D">
        <w:rPr>
          <w:rFonts w:ascii="Times New Roman" w:eastAsia="Times New Roman" w:hAnsi="Times New Roman" w:cs="Times New Roman"/>
          <w:sz w:val="24"/>
          <w:szCs w:val="24"/>
        </w:rPr>
        <w:t>F</w:t>
      </w:r>
      <w:r w:rsidR="002236DB">
        <w:rPr>
          <w:rFonts w:ascii="Times New Roman" w:eastAsia="Times New Roman" w:hAnsi="Times New Roman" w:cs="Times New Roman"/>
          <w:sz w:val="24"/>
          <w:szCs w:val="24"/>
        </w:rPr>
        <w:t>oundation does not agree that the plan is feasible due to financial co</w:t>
      </w:r>
      <w:r w:rsidR="00C16320">
        <w:rPr>
          <w:rFonts w:ascii="Times New Roman" w:eastAsia="Times New Roman" w:hAnsi="Times New Roman" w:cs="Times New Roman"/>
          <w:sz w:val="24"/>
          <w:szCs w:val="24"/>
        </w:rPr>
        <w:t xml:space="preserve">nstraints, it must consider the cost of attrition, and as </w:t>
      </w:r>
      <w:proofErr w:type="spellStart"/>
      <w:r w:rsidR="00C16320">
        <w:rPr>
          <w:rFonts w:ascii="Times New Roman" w:eastAsia="Times New Roman" w:hAnsi="Times New Roman" w:cs="Times New Roman"/>
          <w:sz w:val="24"/>
          <w:szCs w:val="24"/>
        </w:rPr>
        <w:t>Delen</w:t>
      </w:r>
      <w:proofErr w:type="spellEnd"/>
      <w:r w:rsidR="00C16320">
        <w:rPr>
          <w:rFonts w:ascii="Times New Roman" w:eastAsia="Times New Roman" w:hAnsi="Times New Roman" w:cs="Times New Roman"/>
          <w:sz w:val="24"/>
          <w:szCs w:val="24"/>
        </w:rPr>
        <w:t xml:space="preserve"> has explained</w:t>
      </w:r>
      <w:r w:rsidR="006E5CAB">
        <w:rPr>
          <w:rFonts w:ascii="Times New Roman" w:eastAsia="Times New Roman" w:hAnsi="Times New Roman" w:cs="Times New Roman"/>
          <w:sz w:val="24"/>
          <w:szCs w:val="24"/>
        </w:rPr>
        <w:t xml:space="preserve">, </w:t>
      </w:r>
      <w:r w:rsidR="006E5CAB">
        <w:rPr>
          <w:rFonts w:ascii="Times New Roman" w:eastAsia="Times New Roman" w:hAnsi="Times New Roman" w:cs="Times New Roman"/>
          <w:sz w:val="24"/>
          <w:szCs w:val="24"/>
          <w:lang w:val="en"/>
        </w:rPr>
        <w:t>“</w:t>
      </w:r>
      <w:r w:rsidR="008F7732">
        <w:rPr>
          <w:rFonts w:ascii="Times New Roman" w:eastAsia="Times New Roman" w:hAnsi="Times New Roman" w:cs="Times New Roman"/>
          <w:sz w:val="24"/>
          <w:szCs w:val="24"/>
          <w:lang w:val="en"/>
        </w:rPr>
        <w:t>R</w:t>
      </w:r>
      <w:r w:rsidR="002236DB" w:rsidRPr="00985E8B">
        <w:rPr>
          <w:rFonts w:ascii="Times New Roman" w:eastAsia="Times New Roman" w:hAnsi="Times New Roman" w:cs="Times New Roman"/>
          <w:sz w:val="24"/>
          <w:szCs w:val="24"/>
          <w:lang w:val="en"/>
        </w:rPr>
        <w:t>etaining existing customers is crucial because the related research shows</w:t>
      </w:r>
      <w:r w:rsidR="002236DB">
        <w:rPr>
          <w:rFonts w:ascii="Times New Roman" w:eastAsia="Times New Roman" w:hAnsi="Times New Roman" w:cs="Times New Roman"/>
          <w:sz w:val="24"/>
          <w:szCs w:val="24"/>
          <w:lang w:val="en"/>
        </w:rPr>
        <w:t xml:space="preserve"> </w:t>
      </w:r>
      <w:r w:rsidR="002236DB" w:rsidRPr="00985E8B">
        <w:rPr>
          <w:rFonts w:ascii="Times New Roman" w:eastAsia="Times New Roman" w:hAnsi="Times New Roman" w:cs="Times New Roman"/>
          <w:sz w:val="24"/>
          <w:szCs w:val="24"/>
          <w:lang w:val="en"/>
        </w:rPr>
        <w:t>that acquiring a new customer costs roughly</w:t>
      </w:r>
      <w:r w:rsidR="002236DB">
        <w:rPr>
          <w:rFonts w:ascii="Times New Roman" w:eastAsia="Times New Roman" w:hAnsi="Times New Roman" w:cs="Times New Roman"/>
          <w:sz w:val="24"/>
          <w:szCs w:val="24"/>
          <w:lang w:val="en"/>
        </w:rPr>
        <w:t xml:space="preserve"> 10 times more than keeping the </w:t>
      </w:r>
      <w:r w:rsidR="002236DB" w:rsidRPr="00985E8B">
        <w:rPr>
          <w:rFonts w:ascii="Times New Roman" w:eastAsia="Times New Roman" w:hAnsi="Times New Roman" w:cs="Times New Roman"/>
          <w:sz w:val="24"/>
          <w:szCs w:val="24"/>
          <w:lang w:val="en"/>
        </w:rPr>
        <w:t>one that you already have</w:t>
      </w:r>
      <w:r w:rsidR="002236DB">
        <w:rPr>
          <w:rFonts w:ascii="Times New Roman" w:eastAsia="Times New Roman" w:hAnsi="Times New Roman" w:cs="Times New Roman"/>
          <w:sz w:val="24"/>
          <w:szCs w:val="24"/>
          <w:lang w:val="en"/>
        </w:rPr>
        <w:t xml:space="preserve">” (p. 19). Additionally, Jones (1986) has pointed out that administrators, who may not initially be interested in a student retention program, particularly if it will cost money, will likely be persuaded by the significant gain in revenue generated by a modest 25% increase in student completion. </w:t>
      </w:r>
    </w:p>
    <w:p w:rsidR="0050773D" w:rsidRDefault="00781847" w:rsidP="002A7806">
      <w:pPr>
        <w:spacing w:after="0" w:line="480" w:lineRule="auto"/>
        <w:ind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w:t>
      </w:r>
    </w:p>
    <w:p w:rsidR="0050773D" w:rsidRDefault="0050773D" w:rsidP="0050773D">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Figure 1</w:t>
      </w:r>
    </w:p>
    <w:p w:rsidR="0050773D" w:rsidRDefault="0050773D" w:rsidP="0050773D">
      <w:pPr>
        <w:spacing w:before="100" w:beforeAutospacing="1" w:after="100" w:afterAutospacing="1"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Wake Tech Foundation 2010-2011 Fund</w:t>
      </w:r>
    </w:p>
    <w:p w:rsidR="007E68E2" w:rsidRPr="00B10231" w:rsidRDefault="007E68E2" w:rsidP="007E68E2">
      <w:pPr>
        <w:jc w:val="center"/>
        <w:rPr>
          <w:rFonts w:ascii="Times New Roman" w:hAnsi="Times New Roman" w:cs="Times New Roman"/>
          <w:sz w:val="24"/>
          <w:szCs w:val="24"/>
        </w:rPr>
      </w:pPr>
      <w:r w:rsidRPr="00B10231">
        <w:rPr>
          <w:rFonts w:ascii="Times New Roman" w:hAnsi="Times New Roman" w:cs="Times New Roman"/>
          <w:sz w:val="24"/>
          <w:szCs w:val="24"/>
        </w:rPr>
        <w:t>2011 Statement of Financial Position</w:t>
      </w:r>
    </w:p>
    <w:tbl>
      <w:tblPr>
        <w:tblStyle w:val="TableGrid"/>
        <w:tblW w:w="0" w:type="auto"/>
        <w:tblLook w:val="04A0" w:firstRow="1" w:lastRow="0" w:firstColumn="1" w:lastColumn="0" w:noHBand="0" w:noVBand="1"/>
      </w:tblPr>
      <w:tblGrid>
        <w:gridCol w:w="1915"/>
        <w:gridCol w:w="1915"/>
        <w:gridCol w:w="1915"/>
        <w:gridCol w:w="1915"/>
        <w:gridCol w:w="1916"/>
      </w:tblGrid>
      <w:tr w:rsidR="007E68E2" w:rsidRPr="00B10231" w:rsidTr="007939EE">
        <w:tc>
          <w:tcPr>
            <w:tcW w:w="1915" w:type="dxa"/>
          </w:tcPr>
          <w:p w:rsidR="007E68E2" w:rsidRPr="00B10231" w:rsidRDefault="007E68E2" w:rsidP="007939EE">
            <w:pPr>
              <w:rPr>
                <w:rFonts w:ascii="Times New Roman" w:hAnsi="Times New Roman" w:cs="Times New Roman"/>
                <w:sz w:val="24"/>
                <w:szCs w:val="24"/>
              </w:rPr>
            </w:pPr>
            <w:r w:rsidRPr="00B10231">
              <w:rPr>
                <w:rFonts w:ascii="Times New Roman" w:hAnsi="Times New Roman" w:cs="Times New Roman"/>
                <w:sz w:val="24"/>
                <w:szCs w:val="24"/>
              </w:rPr>
              <w:t>Assets</w:t>
            </w:r>
          </w:p>
        </w:tc>
        <w:tc>
          <w:tcPr>
            <w:tcW w:w="1915" w:type="dxa"/>
          </w:tcPr>
          <w:p w:rsidR="007E68E2" w:rsidRPr="00B10231" w:rsidRDefault="007E68E2" w:rsidP="007939EE">
            <w:pPr>
              <w:rPr>
                <w:rFonts w:ascii="Times New Roman" w:hAnsi="Times New Roman" w:cs="Times New Roman"/>
                <w:sz w:val="24"/>
                <w:szCs w:val="24"/>
              </w:rPr>
            </w:pPr>
            <w:r w:rsidRPr="00B10231">
              <w:rPr>
                <w:rFonts w:ascii="Times New Roman" w:hAnsi="Times New Roman" w:cs="Times New Roman"/>
                <w:sz w:val="24"/>
                <w:szCs w:val="24"/>
              </w:rPr>
              <w:t>Unrestricted</w:t>
            </w:r>
          </w:p>
        </w:tc>
        <w:tc>
          <w:tcPr>
            <w:tcW w:w="1915" w:type="dxa"/>
          </w:tcPr>
          <w:p w:rsidR="007E68E2" w:rsidRPr="00B10231" w:rsidRDefault="007E68E2" w:rsidP="007939EE">
            <w:pPr>
              <w:rPr>
                <w:rFonts w:ascii="Times New Roman" w:hAnsi="Times New Roman" w:cs="Times New Roman"/>
                <w:sz w:val="24"/>
                <w:szCs w:val="24"/>
              </w:rPr>
            </w:pPr>
            <w:r w:rsidRPr="00B10231">
              <w:rPr>
                <w:rFonts w:ascii="Times New Roman" w:hAnsi="Times New Roman" w:cs="Times New Roman"/>
                <w:sz w:val="24"/>
                <w:szCs w:val="24"/>
              </w:rPr>
              <w:t>Temporarily Restricted</w:t>
            </w:r>
          </w:p>
        </w:tc>
        <w:tc>
          <w:tcPr>
            <w:tcW w:w="1915" w:type="dxa"/>
          </w:tcPr>
          <w:p w:rsidR="007E68E2" w:rsidRPr="00B10231" w:rsidRDefault="007E68E2" w:rsidP="007939EE">
            <w:pPr>
              <w:rPr>
                <w:rFonts w:ascii="Times New Roman" w:hAnsi="Times New Roman" w:cs="Times New Roman"/>
                <w:sz w:val="24"/>
                <w:szCs w:val="24"/>
              </w:rPr>
            </w:pPr>
            <w:r w:rsidRPr="00B10231">
              <w:rPr>
                <w:rFonts w:ascii="Times New Roman" w:hAnsi="Times New Roman" w:cs="Times New Roman"/>
                <w:sz w:val="24"/>
                <w:szCs w:val="24"/>
              </w:rPr>
              <w:t>Permanently Restricted</w:t>
            </w:r>
          </w:p>
        </w:tc>
        <w:tc>
          <w:tcPr>
            <w:tcW w:w="1916" w:type="dxa"/>
          </w:tcPr>
          <w:p w:rsidR="007E68E2" w:rsidRPr="00B10231" w:rsidRDefault="007E68E2" w:rsidP="007939EE">
            <w:pPr>
              <w:rPr>
                <w:rFonts w:ascii="Times New Roman" w:hAnsi="Times New Roman" w:cs="Times New Roman"/>
                <w:sz w:val="24"/>
                <w:szCs w:val="24"/>
              </w:rPr>
            </w:pPr>
            <w:r w:rsidRPr="00B10231">
              <w:rPr>
                <w:rFonts w:ascii="Times New Roman" w:hAnsi="Times New Roman" w:cs="Times New Roman"/>
                <w:sz w:val="24"/>
                <w:szCs w:val="24"/>
              </w:rPr>
              <w:t>Total</w:t>
            </w:r>
          </w:p>
        </w:tc>
      </w:tr>
      <w:tr w:rsidR="007E68E2" w:rsidRPr="00B10231" w:rsidTr="007939EE">
        <w:tc>
          <w:tcPr>
            <w:tcW w:w="1915" w:type="dxa"/>
          </w:tcPr>
          <w:p w:rsidR="007E68E2" w:rsidRPr="00B10231" w:rsidRDefault="007E68E2" w:rsidP="007939EE">
            <w:pPr>
              <w:rPr>
                <w:rFonts w:ascii="Times New Roman" w:hAnsi="Times New Roman" w:cs="Times New Roman"/>
                <w:sz w:val="24"/>
                <w:szCs w:val="24"/>
              </w:rPr>
            </w:pPr>
            <w:r>
              <w:rPr>
                <w:rFonts w:ascii="Times New Roman" w:hAnsi="Times New Roman" w:cs="Times New Roman"/>
                <w:sz w:val="24"/>
                <w:szCs w:val="24"/>
              </w:rPr>
              <w:t>Cash and Cash Equivalents</w:t>
            </w:r>
          </w:p>
        </w:tc>
        <w:tc>
          <w:tcPr>
            <w:tcW w:w="1915" w:type="dxa"/>
          </w:tcPr>
          <w:p w:rsidR="007E68E2" w:rsidRPr="00B10231" w:rsidRDefault="007E68E2" w:rsidP="007939EE">
            <w:pPr>
              <w:rPr>
                <w:rFonts w:ascii="Times New Roman" w:hAnsi="Times New Roman" w:cs="Times New Roman"/>
                <w:sz w:val="24"/>
                <w:szCs w:val="24"/>
              </w:rPr>
            </w:pPr>
            <w:r>
              <w:rPr>
                <w:rFonts w:ascii="Times New Roman" w:hAnsi="Times New Roman" w:cs="Times New Roman"/>
                <w:sz w:val="24"/>
                <w:szCs w:val="24"/>
              </w:rPr>
              <w:t>$916, 208</w:t>
            </w:r>
          </w:p>
        </w:tc>
        <w:tc>
          <w:tcPr>
            <w:tcW w:w="1915" w:type="dxa"/>
          </w:tcPr>
          <w:p w:rsidR="007E68E2" w:rsidRPr="00B10231" w:rsidRDefault="007E68E2" w:rsidP="007939EE">
            <w:pPr>
              <w:rPr>
                <w:rFonts w:ascii="Times New Roman" w:hAnsi="Times New Roman" w:cs="Times New Roman"/>
                <w:sz w:val="24"/>
                <w:szCs w:val="24"/>
              </w:rPr>
            </w:pPr>
            <w:r>
              <w:rPr>
                <w:rFonts w:ascii="Times New Roman" w:hAnsi="Times New Roman" w:cs="Times New Roman"/>
                <w:sz w:val="24"/>
                <w:szCs w:val="24"/>
              </w:rPr>
              <w:t>0</w:t>
            </w:r>
          </w:p>
        </w:tc>
        <w:tc>
          <w:tcPr>
            <w:tcW w:w="1915" w:type="dxa"/>
          </w:tcPr>
          <w:p w:rsidR="007E68E2" w:rsidRPr="00B10231" w:rsidRDefault="007E68E2" w:rsidP="007939EE">
            <w:pPr>
              <w:rPr>
                <w:rFonts w:ascii="Times New Roman" w:hAnsi="Times New Roman" w:cs="Times New Roman"/>
                <w:sz w:val="24"/>
                <w:szCs w:val="24"/>
              </w:rPr>
            </w:pPr>
            <w:r>
              <w:rPr>
                <w:rFonts w:ascii="Times New Roman" w:hAnsi="Times New Roman" w:cs="Times New Roman"/>
                <w:sz w:val="24"/>
                <w:szCs w:val="24"/>
              </w:rPr>
              <w:t>0</w:t>
            </w:r>
          </w:p>
        </w:tc>
        <w:tc>
          <w:tcPr>
            <w:tcW w:w="1916" w:type="dxa"/>
          </w:tcPr>
          <w:p w:rsidR="007E68E2" w:rsidRPr="00B10231" w:rsidRDefault="007E68E2" w:rsidP="007939EE">
            <w:pPr>
              <w:rPr>
                <w:rFonts w:ascii="Times New Roman" w:hAnsi="Times New Roman" w:cs="Times New Roman"/>
                <w:sz w:val="24"/>
                <w:szCs w:val="24"/>
              </w:rPr>
            </w:pPr>
            <w:r>
              <w:rPr>
                <w:rFonts w:ascii="Times New Roman" w:hAnsi="Times New Roman" w:cs="Times New Roman"/>
                <w:sz w:val="24"/>
                <w:szCs w:val="24"/>
              </w:rPr>
              <w:t>$916, 208</w:t>
            </w:r>
          </w:p>
        </w:tc>
      </w:tr>
      <w:tr w:rsidR="007E68E2" w:rsidRPr="00B10231" w:rsidTr="007939EE">
        <w:tc>
          <w:tcPr>
            <w:tcW w:w="1915" w:type="dxa"/>
          </w:tcPr>
          <w:p w:rsidR="007E68E2" w:rsidRPr="00B10231" w:rsidRDefault="007E68E2" w:rsidP="007939EE">
            <w:pPr>
              <w:rPr>
                <w:rFonts w:ascii="Times New Roman" w:hAnsi="Times New Roman" w:cs="Times New Roman"/>
                <w:sz w:val="24"/>
                <w:szCs w:val="24"/>
              </w:rPr>
            </w:pPr>
            <w:r>
              <w:rPr>
                <w:rFonts w:ascii="Times New Roman" w:hAnsi="Times New Roman" w:cs="Times New Roman"/>
                <w:sz w:val="24"/>
                <w:szCs w:val="24"/>
              </w:rPr>
              <w:t>Accounts Receivable</w:t>
            </w:r>
          </w:p>
        </w:tc>
        <w:tc>
          <w:tcPr>
            <w:tcW w:w="1915" w:type="dxa"/>
          </w:tcPr>
          <w:p w:rsidR="007E68E2" w:rsidRPr="00B10231" w:rsidRDefault="007E68E2" w:rsidP="007939EE">
            <w:pPr>
              <w:rPr>
                <w:rFonts w:ascii="Times New Roman" w:hAnsi="Times New Roman" w:cs="Times New Roman"/>
                <w:sz w:val="24"/>
                <w:szCs w:val="24"/>
              </w:rPr>
            </w:pPr>
            <w:r>
              <w:rPr>
                <w:rFonts w:ascii="Times New Roman" w:hAnsi="Times New Roman" w:cs="Times New Roman"/>
                <w:sz w:val="24"/>
                <w:szCs w:val="24"/>
              </w:rPr>
              <w:t>$51,000</w:t>
            </w:r>
          </w:p>
        </w:tc>
        <w:tc>
          <w:tcPr>
            <w:tcW w:w="1915" w:type="dxa"/>
          </w:tcPr>
          <w:p w:rsidR="007E68E2" w:rsidRPr="00B10231" w:rsidRDefault="007E68E2" w:rsidP="007939EE">
            <w:pPr>
              <w:rPr>
                <w:rFonts w:ascii="Times New Roman" w:hAnsi="Times New Roman" w:cs="Times New Roman"/>
                <w:sz w:val="24"/>
                <w:szCs w:val="24"/>
              </w:rPr>
            </w:pPr>
            <w:r>
              <w:rPr>
                <w:rFonts w:ascii="Times New Roman" w:hAnsi="Times New Roman" w:cs="Times New Roman"/>
                <w:sz w:val="24"/>
                <w:szCs w:val="24"/>
              </w:rPr>
              <w:t>$62,424</w:t>
            </w:r>
          </w:p>
        </w:tc>
        <w:tc>
          <w:tcPr>
            <w:tcW w:w="1915" w:type="dxa"/>
          </w:tcPr>
          <w:p w:rsidR="007E68E2" w:rsidRPr="00B10231" w:rsidRDefault="007E68E2" w:rsidP="007939EE">
            <w:pPr>
              <w:rPr>
                <w:rFonts w:ascii="Times New Roman" w:hAnsi="Times New Roman" w:cs="Times New Roman"/>
                <w:sz w:val="24"/>
                <w:szCs w:val="24"/>
              </w:rPr>
            </w:pPr>
            <w:r>
              <w:rPr>
                <w:rFonts w:ascii="Times New Roman" w:hAnsi="Times New Roman" w:cs="Times New Roman"/>
                <w:sz w:val="24"/>
                <w:szCs w:val="24"/>
              </w:rPr>
              <w:t>0</w:t>
            </w:r>
          </w:p>
        </w:tc>
        <w:tc>
          <w:tcPr>
            <w:tcW w:w="1916" w:type="dxa"/>
          </w:tcPr>
          <w:p w:rsidR="007E68E2" w:rsidRPr="00B10231" w:rsidRDefault="007E68E2" w:rsidP="007939EE">
            <w:pPr>
              <w:rPr>
                <w:rFonts w:ascii="Times New Roman" w:hAnsi="Times New Roman" w:cs="Times New Roman"/>
                <w:sz w:val="24"/>
                <w:szCs w:val="24"/>
              </w:rPr>
            </w:pPr>
            <w:r>
              <w:rPr>
                <w:rFonts w:ascii="Times New Roman" w:hAnsi="Times New Roman" w:cs="Times New Roman"/>
                <w:sz w:val="24"/>
                <w:szCs w:val="24"/>
              </w:rPr>
              <w:t>$113,424</w:t>
            </w:r>
          </w:p>
        </w:tc>
      </w:tr>
      <w:tr w:rsidR="007E68E2" w:rsidRPr="00B10231" w:rsidTr="007939EE">
        <w:tc>
          <w:tcPr>
            <w:tcW w:w="1915" w:type="dxa"/>
          </w:tcPr>
          <w:p w:rsidR="007E68E2" w:rsidRPr="00B10231" w:rsidRDefault="007E68E2" w:rsidP="007939EE">
            <w:pPr>
              <w:rPr>
                <w:rFonts w:ascii="Times New Roman" w:hAnsi="Times New Roman" w:cs="Times New Roman"/>
                <w:sz w:val="24"/>
                <w:szCs w:val="24"/>
              </w:rPr>
            </w:pPr>
            <w:r>
              <w:rPr>
                <w:rFonts w:ascii="Times New Roman" w:hAnsi="Times New Roman" w:cs="Times New Roman"/>
                <w:sz w:val="24"/>
                <w:szCs w:val="24"/>
              </w:rPr>
              <w:t>Investments</w:t>
            </w:r>
          </w:p>
        </w:tc>
        <w:tc>
          <w:tcPr>
            <w:tcW w:w="1915" w:type="dxa"/>
          </w:tcPr>
          <w:p w:rsidR="007E68E2" w:rsidRPr="00B10231" w:rsidRDefault="007E68E2" w:rsidP="007939EE">
            <w:pPr>
              <w:rPr>
                <w:rFonts w:ascii="Times New Roman" w:hAnsi="Times New Roman" w:cs="Times New Roman"/>
                <w:sz w:val="24"/>
                <w:szCs w:val="24"/>
              </w:rPr>
            </w:pPr>
            <w:r>
              <w:rPr>
                <w:rFonts w:ascii="Times New Roman" w:hAnsi="Times New Roman" w:cs="Times New Roman"/>
                <w:sz w:val="24"/>
                <w:szCs w:val="24"/>
              </w:rPr>
              <w:t>$1,812,470</w:t>
            </w:r>
          </w:p>
        </w:tc>
        <w:tc>
          <w:tcPr>
            <w:tcW w:w="1915" w:type="dxa"/>
          </w:tcPr>
          <w:p w:rsidR="007E68E2" w:rsidRPr="00B10231" w:rsidRDefault="007E68E2" w:rsidP="007939EE">
            <w:pPr>
              <w:rPr>
                <w:rFonts w:ascii="Times New Roman" w:hAnsi="Times New Roman" w:cs="Times New Roman"/>
                <w:sz w:val="24"/>
                <w:szCs w:val="24"/>
              </w:rPr>
            </w:pPr>
            <w:r>
              <w:rPr>
                <w:rFonts w:ascii="Times New Roman" w:hAnsi="Times New Roman" w:cs="Times New Roman"/>
                <w:sz w:val="24"/>
                <w:szCs w:val="24"/>
              </w:rPr>
              <w:t>$1,551,550</w:t>
            </w:r>
          </w:p>
        </w:tc>
        <w:tc>
          <w:tcPr>
            <w:tcW w:w="1915" w:type="dxa"/>
          </w:tcPr>
          <w:p w:rsidR="007E68E2" w:rsidRPr="00B10231" w:rsidRDefault="007E68E2" w:rsidP="007939EE">
            <w:pPr>
              <w:rPr>
                <w:rFonts w:ascii="Times New Roman" w:hAnsi="Times New Roman" w:cs="Times New Roman"/>
                <w:sz w:val="24"/>
                <w:szCs w:val="24"/>
              </w:rPr>
            </w:pPr>
            <w:r>
              <w:rPr>
                <w:rFonts w:ascii="Times New Roman" w:hAnsi="Times New Roman" w:cs="Times New Roman"/>
                <w:sz w:val="24"/>
                <w:szCs w:val="24"/>
              </w:rPr>
              <w:t>$1,530,172</w:t>
            </w:r>
          </w:p>
        </w:tc>
        <w:tc>
          <w:tcPr>
            <w:tcW w:w="1916" w:type="dxa"/>
          </w:tcPr>
          <w:p w:rsidR="007E68E2" w:rsidRPr="00B10231" w:rsidRDefault="007E68E2" w:rsidP="007939EE">
            <w:pPr>
              <w:rPr>
                <w:rFonts w:ascii="Times New Roman" w:hAnsi="Times New Roman" w:cs="Times New Roman"/>
                <w:sz w:val="24"/>
                <w:szCs w:val="24"/>
              </w:rPr>
            </w:pPr>
            <w:r>
              <w:rPr>
                <w:rFonts w:ascii="Times New Roman" w:hAnsi="Times New Roman" w:cs="Times New Roman"/>
                <w:sz w:val="24"/>
                <w:szCs w:val="24"/>
              </w:rPr>
              <w:t>$4,894,192</w:t>
            </w:r>
          </w:p>
        </w:tc>
      </w:tr>
      <w:tr w:rsidR="007E68E2" w:rsidRPr="00B10231" w:rsidTr="007939EE">
        <w:tc>
          <w:tcPr>
            <w:tcW w:w="1915" w:type="dxa"/>
          </w:tcPr>
          <w:p w:rsidR="007E68E2" w:rsidRPr="00B10231" w:rsidRDefault="007E68E2" w:rsidP="007939EE">
            <w:pPr>
              <w:rPr>
                <w:rFonts w:ascii="Times New Roman" w:hAnsi="Times New Roman" w:cs="Times New Roman"/>
                <w:sz w:val="24"/>
                <w:szCs w:val="24"/>
              </w:rPr>
            </w:pPr>
            <w:r>
              <w:rPr>
                <w:rFonts w:ascii="Times New Roman" w:hAnsi="Times New Roman" w:cs="Times New Roman"/>
                <w:sz w:val="24"/>
                <w:szCs w:val="24"/>
              </w:rPr>
              <w:t>Pledges Receivable-Current</w:t>
            </w:r>
          </w:p>
        </w:tc>
        <w:tc>
          <w:tcPr>
            <w:tcW w:w="1915" w:type="dxa"/>
          </w:tcPr>
          <w:p w:rsidR="007E68E2" w:rsidRPr="00B10231" w:rsidRDefault="007E68E2" w:rsidP="007939EE">
            <w:pPr>
              <w:rPr>
                <w:rFonts w:ascii="Times New Roman" w:hAnsi="Times New Roman" w:cs="Times New Roman"/>
                <w:sz w:val="24"/>
                <w:szCs w:val="24"/>
              </w:rPr>
            </w:pPr>
            <w:r>
              <w:rPr>
                <w:rFonts w:ascii="Times New Roman" w:hAnsi="Times New Roman" w:cs="Times New Roman"/>
                <w:sz w:val="24"/>
                <w:szCs w:val="24"/>
              </w:rPr>
              <w:t>0</w:t>
            </w:r>
          </w:p>
        </w:tc>
        <w:tc>
          <w:tcPr>
            <w:tcW w:w="1915" w:type="dxa"/>
          </w:tcPr>
          <w:p w:rsidR="007E68E2" w:rsidRPr="00B10231" w:rsidRDefault="007E68E2" w:rsidP="007939EE">
            <w:pPr>
              <w:rPr>
                <w:rFonts w:ascii="Times New Roman" w:hAnsi="Times New Roman" w:cs="Times New Roman"/>
                <w:sz w:val="24"/>
                <w:szCs w:val="24"/>
              </w:rPr>
            </w:pPr>
            <w:r>
              <w:rPr>
                <w:rFonts w:ascii="Times New Roman" w:hAnsi="Times New Roman" w:cs="Times New Roman"/>
                <w:sz w:val="24"/>
                <w:szCs w:val="24"/>
              </w:rPr>
              <w:t>$10,000</w:t>
            </w:r>
          </w:p>
        </w:tc>
        <w:tc>
          <w:tcPr>
            <w:tcW w:w="1915" w:type="dxa"/>
          </w:tcPr>
          <w:p w:rsidR="007E68E2" w:rsidRPr="00B10231" w:rsidRDefault="007E68E2" w:rsidP="007939EE">
            <w:pPr>
              <w:rPr>
                <w:rFonts w:ascii="Times New Roman" w:hAnsi="Times New Roman" w:cs="Times New Roman"/>
                <w:sz w:val="24"/>
                <w:szCs w:val="24"/>
              </w:rPr>
            </w:pPr>
            <w:r>
              <w:rPr>
                <w:rFonts w:ascii="Times New Roman" w:hAnsi="Times New Roman" w:cs="Times New Roman"/>
                <w:sz w:val="24"/>
                <w:szCs w:val="24"/>
              </w:rPr>
              <w:t>0</w:t>
            </w:r>
          </w:p>
        </w:tc>
        <w:tc>
          <w:tcPr>
            <w:tcW w:w="1916" w:type="dxa"/>
          </w:tcPr>
          <w:p w:rsidR="007E68E2" w:rsidRPr="00B10231" w:rsidRDefault="007E68E2" w:rsidP="007939EE">
            <w:pPr>
              <w:rPr>
                <w:rFonts w:ascii="Times New Roman" w:hAnsi="Times New Roman" w:cs="Times New Roman"/>
                <w:sz w:val="24"/>
                <w:szCs w:val="24"/>
              </w:rPr>
            </w:pPr>
            <w:r>
              <w:rPr>
                <w:rFonts w:ascii="Times New Roman" w:hAnsi="Times New Roman" w:cs="Times New Roman"/>
                <w:sz w:val="24"/>
                <w:szCs w:val="24"/>
              </w:rPr>
              <w:t>$10,000</w:t>
            </w:r>
          </w:p>
        </w:tc>
      </w:tr>
      <w:tr w:rsidR="007E68E2" w:rsidRPr="00B10231" w:rsidTr="007939EE">
        <w:tc>
          <w:tcPr>
            <w:tcW w:w="1915" w:type="dxa"/>
          </w:tcPr>
          <w:p w:rsidR="007E68E2" w:rsidRPr="00B10231" w:rsidRDefault="007E68E2" w:rsidP="007939EE">
            <w:pPr>
              <w:rPr>
                <w:rFonts w:ascii="Times New Roman" w:hAnsi="Times New Roman" w:cs="Times New Roman"/>
                <w:sz w:val="24"/>
                <w:szCs w:val="24"/>
              </w:rPr>
            </w:pPr>
            <w:r>
              <w:rPr>
                <w:rFonts w:ascii="Times New Roman" w:hAnsi="Times New Roman" w:cs="Times New Roman"/>
                <w:sz w:val="24"/>
                <w:szCs w:val="24"/>
              </w:rPr>
              <w:t xml:space="preserve">Advances for Emergency Funds to Students Net of Allowance for Doubtful </w:t>
            </w:r>
            <w:r>
              <w:rPr>
                <w:rFonts w:ascii="Times New Roman" w:hAnsi="Times New Roman" w:cs="Times New Roman"/>
                <w:sz w:val="24"/>
                <w:szCs w:val="24"/>
              </w:rPr>
              <w:lastRenderedPageBreak/>
              <w:t>Accounts of $0 and $11,500 at June 30, 2011 and 2010, Respectively</w:t>
            </w:r>
          </w:p>
        </w:tc>
        <w:tc>
          <w:tcPr>
            <w:tcW w:w="1915" w:type="dxa"/>
          </w:tcPr>
          <w:p w:rsidR="007E68E2" w:rsidRPr="00B10231" w:rsidRDefault="007E68E2" w:rsidP="007939EE">
            <w:pPr>
              <w:rPr>
                <w:rFonts w:ascii="Times New Roman" w:hAnsi="Times New Roman" w:cs="Times New Roman"/>
                <w:sz w:val="24"/>
                <w:szCs w:val="24"/>
              </w:rPr>
            </w:pPr>
            <w:r>
              <w:rPr>
                <w:rFonts w:ascii="Times New Roman" w:hAnsi="Times New Roman" w:cs="Times New Roman"/>
                <w:sz w:val="24"/>
                <w:szCs w:val="24"/>
              </w:rPr>
              <w:lastRenderedPageBreak/>
              <w:t>0</w:t>
            </w:r>
          </w:p>
        </w:tc>
        <w:tc>
          <w:tcPr>
            <w:tcW w:w="1915" w:type="dxa"/>
          </w:tcPr>
          <w:p w:rsidR="007E68E2" w:rsidRPr="00B10231" w:rsidRDefault="007E68E2" w:rsidP="007939EE">
            <w:pPr>
              <w:rPr>
                <w:rFonts w:ascii="Times New Roman" w:hAnsi="Times New Roman" w:cs="Times New Roman"/>
                <w:sz w:val="24"/>
                <w:szCs w:val="24"/>
              </w:rPr>
            </w:pPr>
            <w:r>
              <w:rPr>
                <w:rFonts w:ascii="Times New Roman" w:hAnsi="Times New Roman" w:cs="Times New Roman"/>
                <w:sz w:val="24"/>
                <w:szCs w:val="24"/>
              </w:rPr>
              <w:t>0</w:t>
            </w:r>
          </w:p>
        </w:tc>
        <w:tc>
          <w:tcPr>
            <w:tcW w:w="1915" w:type="dxa"/>
          </w:tcPr>
          <w:p w:rsidR="007E68E2" w:rsidRPr="00B10231" w:rsidRDefault="007E68E2" w:rsidP="007939EE">
            <w:pPr>
              <w:rPr>
                <w:rFonts w:ascii="Times New Roman" w:hAnsi="Times New Roman" w:cs="Times New Roman"/>
                <w:sz w:val="24"/>
                <w:szCs w:val="24"/>
              </w:rPr>
            </w:pPr>
            <w:r>
              <w:rPr>
                <w:rFonts w:ascii="Times New Roman" w:hAnsi="Times New Roman" w:cs="Times New Roman"/>
                <w:sz w:val="24"/>
                <w:szCs w:val="24"/>
              </w:rPr>
              <w:t>0</w:t>
            </w:r>
          </w:p>
        </w:tc>
        <w:tc>
          <w:tcPr>
            <w:tcW w:w="1916" w:type="dxa"/>
          </w:tcPr>
          <w:p w:rsidR="007E68E2" w:rsidRPr="00B10231" w:rsidRDefault="007E68E2" w:rsidP="007939EE">
            <w:pPr>
              <w:rPr>
                <w:rFonts w:ascii="Times New Roman" w:hAnsi="Times New Roman" w:cs="Times New Roman"/>
                <w:sz w:val="24"/>
                <w:szCs w:val="24"/>
              </w:rPr>
            </w:pPr>
            <w:r>
              <w:rPr>
                <w:rFonts w:ascii="Times New Roman" w:hAnsi="Times New Roman" w:cs="Times New Roman"/>
                <w:sz w:val="24"/>
                <w:szCs w:val="24"/>
              </w:rPr>
              <w:t>0</w:t>
            </w:r>
          </w:p>
        </w:tc>
      </w:tr>
      <w:tr w:rsidR="007E68E2" w:rsidRPr="00B10231" w:rsidTr="007939EE">
        <w:tc>
          <w:tcPr>
            <w:tcW w:w="1915" w:type="dxa"/>
          </w:tcPr>
          <w:p w:rsidR="007E68E2" w:rsidRPr="00B10231" w:rsidRDefault="007E68E2" w:rsidP="007939EE">
            <w:pPr>
              <w:rPr>
                <w:rFonts w:ascii="Times New Roman" w:hAnsi="Times New Roman" w:cs="Times New Roman"/>
                <w:sz w:val="24"/>
                <w:szCs w:val="24"/>
              </w:rPr>
            </w:pPr>
            <w:r>
              <w:rPr>
                <w:rFonts w:ascii="Times New Roman" w:hAnsi="Times New Roman" w:cs="Times New Roman"/>
                <w:sz w:val="24"/>
                <w:szCs w:val="24"/>
              </w:rPr>
              <w:lastRenderedPageBreak/>
              <w:t>Refundable Sales Tax</w:t>
            </w:r>
          </w:p>
        </w:tc>
        <w:tc>
          <w:tcPr>
            <w:tcW w:w="1915" w:type="dxa"/>
          </w:tcPr>
          <w:p w:rsidR="007E68E2" w:rsidRPr="00B10231" w:rsidRDefault="007E68E2" w:rsidP="007939EE">
            <w:pPr>
              <w:rPr>
                <w:rFonts w:ascii="Times New Roman" w:hAnsi="Times New Roman" w:cs="Times New Roman"/>
                <w:sz w:val="24"/>
                <w:szCs w:val="24"/>
              </w:rPr>
            </w:pPr>
            <w:r>
              <w:rPr>
                <w:rFonts w:ascii="Times New Roman" w:hAnsi="Times New Roman" w:cs="Times New Roman"/>
                <w:sz w:val="24"/>
                <w:szCs w:val="24"/>
              </w:rPr>
              <w:t>$504</w:t>
            </w:r>
          </w:p>
        </w:tc>
        <w:tc>
          <w:tcPr>
            <w:tcW w:w="1915" w:type="dxa"/>
          </w:tcPr>
          <w:p w:rsidR="007E68E2" w:rsidRPr="00B10231" w:rsidRDefault="007E68E2" w:rsidP="007939EE">
            <w:pPr>
              <w:rPr>
                <w:rFonts w:ascii="Times New Roman" w:hAnsi="Times New Roman" w:cs="Times New Roman"/>
                <w:sz w:val="24"/>
                <w:szCs w:val="24"/>
              </w:rPr>
            </w:pPr>
            <w:r>
              <w:rPr>
                <w:rFonts w:ascii="Times New Roman" w:hAnsi="Times New Roman" w:cs="Times New Roman"/>
                <w:sz w:val="24"/>
                <w:szCs w:val="24"/>
              </w:rPr>
              <w:t>0</w:t>
            </w:r>
          </w:p>
        </w:tc>
        <w:tc>
          <w:tcPr>
            <w:tcW w:w="1915" w:type="dxa"/>
          </w:tcPr>
          <w:p w:rsidR="007E68E2" w:rsidRPr="00B10231" w:rsidRDefault="007E68E2" w:rsidP="007939EE">
            <w:pPr>
              <w:rPr>
                <w:rFonts w:ascii="Times New Roman" w:hAnsi="Times New Roman" w:cs="Times New Roman"/>
                <w:sz w:val="24"/>
                <w:szCs w:val="24"/>
              </w:rPr>
            </w:pPr>
            <w:r>
              <w:rPr>
                <w:rFonts w:ascii="Times New Roman" w:hAnsi="Times New Roman" w:cs="Times New Roman"/>
                <w:sz w:val="24"/>
                <w:szCs w:val="24"/>
              </w:rPr>
              <w:t>0</w:t>
            </w:r>
          </w:p>
        </w:tc>
        <w:tc>
          <w:tcPr>
            <w:tcW w:w="1916" w:type="dxa"/>
          </w:tcPr>
          <w:p w:rsidR="007E68E2" w:rsidRPr="00B10231" w:rsidRDefault="007E68E2" w:rsidP="007939EE">
            <w:pPr>
              <w:rPr>
                <w:rFonts w:ascii="Times New Roman" w:hAnsi="Times New Roman" w:cs="Times New Roman"/>
                <w:sz w:val="24"/>
                <w:szCs w:val="24"/>
              </w:rPr>
            </w:pPr>
            <w:r>
              <w:rPr>
                <w:rFonts w:ascii="Times New Roman" w:hAnsi="Times New Roman" w:cs="Times New Roman"/>
                <w:sz w:val="24"/>
                <w:szCs w:val="24"/>
              </w:rPr>
              <w:t>$504</w:t>
            </w:r>
          </w:p>
        </w:tc>
      </w:tr>
      <w:tr w:rsidR="007E68E2" w:rsidRPr="00B10231" w:rsidTr="007939EE">
        <w:tc>
          <w:tcPr>
            <w:tcW w:w="1915" w:type="dxa"/>
          </w:tcPr>
          <w:p w:rsidR="007E68E2" w:rsidRPr="00B10231" w:rsidRDefault="007E68E2" w:rsidP="007939EE">
            <w:pPr>
              <w:rPr>
                <w:rFonts w:ascii="Times New Roman" w:hAnsi="Times New Roman" w:cs="Times New Roman"/>
                <w:sz w:val="24"/>
                <w:szCs w:val="24"/>
              </w:rPr>
            </w:pPr>
            <w:r>
              <w:rPr>
                <w:rFonts w:ascii="Times New Roman" w:hAnsi="Times New Roman" w:cs="Times New Roman"/>
                <w:sz w:val="24"/>
                <w:szCs w:val="24"/>
              </w:rPr>
              <w:t>Total Current Assets</w:t>
            </w:r>
          </w:p>
        </w:tc>
        <w:tc>
          <w:tcPr>
            <w:tcW w:w="1915" w:type="dxa"/>
          </w:tcPr>
          <w:p w:rsidR="007E68E2" w:rsidRPr="00B10231" w:rsidRDefault="007E68E2" w:rsidP="007939EE">
            <w:pPr>
              <w:rPr>
                <w:rFonts w:ascii="Times New Roman" w:hAnsi="Times New Roman" w:cs="Times New Roman"/>
                <w:sz w:val="24"/>
                <w:szCs w:val="24"/>
              </w:rPr>
            </w:pPr>
            <w:r>
              <w:rPr>
                <w:rFonts w:ascii="Times New Roman" w:hAnsi="Times New Roman" w:cs="Times New Roman"/>
                <w:sz w:val="24"/>
                <w:szCs w:val="24"/>
              </w:rPr>
              <w:t>$2,780,182</w:t>
            </w:r>
          </w:p>
        </w:tc>
        <w:tc>
          <w:tcPr>
            <w:tcW w:w="1915" w:type="dxa"/>
          </w:tcPr>
          <w:p w:rsidR="007E68E2" w:rsidRPr="00B10231" w:rsidRDefault="007E68E2" w:rsidP="007939EE">
            <w:pPr>
              <w:rPr>
                <w:rFonts w:ascii="Times New Roman" w:hAnsi="Times New Roman" w:cs="Times New Roman"/>
                <w:sz w:val="24"/>
                <w:szCs w:val="24"/>
              </w:rPr>
            </w:pPr>
            <w:r>
              <w:rPr>
                <w:rFonts w:ascii="Times New Roman" w:hAnsi="Times New Roman" w:cs="Times New Roman"/>
                <w:sz w:val="24"/>
                <w:szCs w:val="24"/>
              </w:rPr>
              <w:t>$1,623,974</w:t>
            </w:r>
          </w:p>
        </w:tc>
        <w:tc>
          <w:tcPr>
            <w:tcW w:w="1915" w:type="dxa"/>
          </w:tcPr>
          <w:p w:rsidR="007E68E2" w:rsidRPr="00B10231" w:rsidRDefault="007E68E2" w:rsidP="007939EE">
            <w:pPr>
              <w:rPr>
                <w:rFonts w:ascii="Times New Roman" w:hAnsi="Times New Roman" w:cs="Times New Roman"/>
                <w:sz w:val="24"/>
                <w:szCs w:val="24"/>
              </w:rPr>
            </w:pPr>
            <w:r>
              <w:rPr>
                <w:rFonts w:ascii="Times New Roman" w:hAnsi="Times New Roman" w:cs="Times New Roman"/>
                <w:sz w:val="24"/>
                <w:szCs w:val="24"/>
              </w:rPr>
              <w:t>$1,530,172</w:t>
            </w:r>
          </w:p>
        </w:tc>
        <w:tc>
          <w:tcPr>
            <w:tcW w:w="1916" w:type="dxa"/>
          </w:tcPr>
          <w:p w:rsidR="007E68E2" w:rsidRPr="00B10231" w:rsidRDefault="007E68E2" w:rsidP="007939EE">
            <w:pPr>
              <w:rPr>
                <w:rFonts w:ascii="Times New Roman" w:hAnsi="Times New Roman" w:cs="Times New Roman"/>
                <w:sz w:val="24"/>
                <w:szCs w:val="24"/>
              </w:rPr>
            </w:pPr>
            <w:r>
              <w:rPr>
                <w:rFonts w:ascii="Times New Roman" w:hAnsi="Times New Roman" w:cs="Times New Roman"/>
                <w:sz w:val="24"/>
                <w:szCs w:val="24"/>
              </w:rPr>
              <w:t>$5,934,328</w:t>
            </w:r>
          </w:p>
        </w:tc>
      </w:tr>
    </w:tbl>
    <w:p w:rsidR="007E68E2" w:rsidRPr="00B10231" w:rsidRDefault="007E68E2" w:rsidP="007E68E2">
      <w:pPr>
        <w:rPr>
          <w:rFonts w:ascii="Times New Roman" w:hAnsi="Times New Roman" w:cs="Times New Roman"/>
          <w:sz w:val="24"/>
          <w:szCs w:val="24"/>
        </w:rPr>
      </w:pPr>
      <w:r w:rsidRPr="00A41858">
        <w:rPr>
          <w:rFonts w:ascii="Times New Roman" w:eastAsia="Times New Roman" w:hAnsi="Times New Roman" w:cs="Times New Roman"/>
          <w:bCs/>
          <w:i/>
          <w:sz w:val="24"/>
          <w:szCs w:val="24"/>
        </w:rPr>
        <w:t xml:space="preserve">*information from Wake Technical Community College </w:t>
      </w:r>
      <w:r w:rsidR="00357631" w:rsidRPr="00A41858">
        <w:rPr>
          <w:rFonts w:ascii="Times New Roman" w:eastAsia="Times New Roman" w:hAnsi="Times New Roman" w:cs="Times New Roman"/>
          <w:bCs/>
          <w:i/>
          <w:sz w:val="24"/>
          <w:szCs w:val="24"/>
        </w:rPr>
        <w:t xml:space="preserve">Foundation </w:t>
      </w:r>
      <w:r w:rsidR="00357631" w:rsidRPr="00A41858">
        <w:rPr>
          <w:i/>
        </w:rPr>
        <w:t>http</w:t>
      </w:r>
      <w:r w:rsidRPr="00A41858">
        <w:rPr>
          <w:rFonts w:ascii="Times New Roman" w:eastAsia="Times New Roman" w:hAnsi="Times New Roman" w:cs="Times New Roman"/>
          <w:bCs/>
          <w:i/>
          <w:sz w:val="24"/>
          <w:szCs w:val="24"/>
        </w:rPr>
        <w:t>://foundation.waketech.edu/page.aspx?pid=311</w:t>
      </w:r>
    </w:p>
    <w:p w:rsidR="00D855E2" w:rsidRDefault="00D855E2" w:rsidP="00D855E2">
      <w:pPr>
        <w:spacing w:after="0" w:line="480" w:lineRule="auto"/>
        <w:rPr>
          <w:rFonts w:ascii="Times New Roman" w:eastAsia="Times New Roman" w:hAnsi="Times New Roman" w:cs="Times New Roman"/>
          <w:bCs/>
          <w:sz w:val="24"/>
          <w:szCs w:val="24"/>
        </w:rPr>
      </w:pPr>
    </w:p>
    <w:p w:rsidR="0005567F" w:rsidRDefault="00D855E2" w:rsidP="00D855E2">
      <w:pPr>
        <w:spacing w:after="0" w:line="480"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w:t>
      </w:r>
      <w:r w:rsidR="0033558E">
        <w:rPr>
          <w:rFonts w:ascii="Times New Roman" w:eastAsia="Times New Roman" w:hAnsi="Times New Roman" w:cs="Times New Roman"/>
          <w:sz w:val="24"/>
          <w:szCs w:val="24"/>
          <w:lang w:val="en"/>
        </w:rPr>
        <w:t xml:space="preserve"> Call for Action</w:t>
      </w:r>
    </w:p>
    <w:p w:rsidR="002236DB" w:rsidRDefault="00AF044D" w:rsidP="00AF044D">
      <w:pPr>
        <w:spacing w:after="0" w:line="480" w:lineRule="auto"/>
        <w:ind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After collecting and analyzing data, a teacher leader must then take the opportunity to present the findings and propose the project to the appropriate stakeholders, in this case the Board of </w:t>
      </w:r>
      <w:r w:rsidR="00133628">
        <w:rPr>
          <w:rFonts w:ascii="Times New Roman" w:eastAsia="Times New Roman" w:hAnsi="Times New Roman" w:cs="Times New Roman"/>
          <w:sz w:val="24"/>
          <w:szCs w:val="24"/>
          <w:lang w:val="en"/>
        </w:rPr>
        <w:t>Trustees</w:t>
      </w:r>
      <w:r>
        <w:rPr>
          <w:rFonts w:ascii="Times New Roman" w:eastAsia="Times New Roman" w:hAnsi="Times New Roman" w:cs="Times New Roman"/>
          <w:sz w:val="24"/>
          <w:szCs w:val="24"/>
          <w:lang w:val="en"/>
        </w:rPr>
        <w:t xml:space="preserve"> of the Wake Technical </w:t>
      </w:r>
      <w:r w:rsidR="003678A6">
        <w:rPr>
          <w:rFonts w:ascii="Times New Roman" w:eastAsia="Times New Roman" w:hAnsi="Times New Roman" w:cs="Times New Roman"/>
          <w:sz w:val="24"/>
          <w:szCs w:val="24"/>
          <w:lang w:val="en"/>
        </w:rPr>
        <w:t>Community</w:t>
      </w:r>
      <w:r>
        <w:rPr>
          <w:rFonts w:ascii="Times New Roman" w:eastAsia="Times New Roman" w:hAnsi="Times New Roman" w:cs="Times New Roman"/>
          <w:sz w:val="24"/>
          <w:szCs w:val="24"/>
          <w:lang w:val="en"/>
        </w:rPr>
        <w:t xml:space="preserve"> College Foundation. </w:t>
      </w:r>
      <w:r w:rsidR="00E54996">
        <w:rPr>
          <w:rFonts w:ascii="Times New Roman" w:eastAsia="Times New Roman" w:hAnsi="Times New Roman" w:cs="Times New Roman"/>
          <w:sz w:val="24"/>
          <w:szCs w:val="24"/>
          <w:lang w:val="en"/>
        </w:rPr>
        <w:t xml:space="preserve"> </w:t>
      </w:r>
      <w:r w:rsidR="00B00C90">
        <w:rPr>
          <w:rFonts w:ascii="Times New Roman" w:eastAsia="Times New Roman" w:hAnsi="Times New Roman" w:cs="Times New Roman"/>
          <w:sz w:val="24"/>
          <w:szCs w:val="24"/>
          <w:lang w:val="en"/>
        </w:rPr>
        <w:t xml:space="preserve">This task can seem daunting and intimidating. </w:t>
      </w:r>
      <w:r w:rsidR="002236DB">
        <w:rPr>
          <w:rFonts w:ascii="Times New Roman" w:eastAsia="Times New Roman" w:hAnsi="Times New Roman" w:cs="Times New Roman"/>
          <w:sz w:val="24"/>
          <w:szCs w:val="24"/>
          <w:lang w:val="en"/>
        </w:rPr>
        <w:t>Teachers fear that they may be perceived as Polly Anna-</w:t>
      </w:r>
      <w:proofErr w:type="spellStart"/>
      <w:r w:rsidR="002236DB">
        <w:rPr>
          <w:rFonts w:ascii="Times New Roman" w:eastAsia="Times New Roman" w:hAnsi="Times New Roman" w:cs="Times New Roman"/>
          <w:sz w:val="24"/>
          <w:szCs w:val="24"/>
          <w:lang w:val="en"/>
        </w:rPr>
        <w:t>ish</w:t>
      </w:r>
      <w:proofErr w:type="spellEnd"/>
      <w:r w:rsidR="002236DB">
        <w:rPr>
          <w:rFonts w:ascii="Times New Roman" w:eastAsia="Times New Roman" w:hAnsi="Times New Roman" w:cs="Times New Roman"/>
          <w:sz w:val="24"/>
          <w:szCs w:val="24"/>
          <w:lang w:val="en"/>
        </w:rPr>
        <w:t xml:space="preserve"> or </w:t>
      </w:r>
    </w:p>
    <w:p w:rsidR="00105AB1" w:rsidRDefault="002236DB" w:rsidP="002236DB">
      <w:pPr>
        <w:spacing w:after="0" w:line="480" w:lineRule="auto"/>
        <w:rPr>
          <w:rFonts w:ascii="Times New Roman" w:eastAsia="Times New Roman" w:hAnsi="Times New Roman" w:cs="Times New Roman"/>
          <w:sz w:val="24"/>
          <w:szCs w:val="24"/>
          <w:lang w:val="en"/>
        </w:rPr>
      </w:pPr>
      <w:proofErr w:type="gramStart"/>
      <w:r>
        <w:rPr>
          <w:rFonts w:ascii="Times New Roman" w:eastAsia="Times New Roman" w:hAnsi="Times New Roman" w:cs="Times New Roman"/>
          <w:sz w:val="24"/>
          <w:szCs w:val="24"/>
          <w:lang w:val="en"/>
        </w:rPr>
        <w:t>worse</w:t>
      </w:r>
      <w:proofErr w:type="gramEnd"/>
      <w:r>
        <w:rPr>
          <w:rFonts w:ascii="Times New Roman" w:eastAsia="Times New Roman" w:hAnsi="Times New Roman" w:cs="Times New Roman"/>
          <w:sz w:val="24"/>
          <w:szCs w:val="24"/>
          <w:lang w:val="en"/>
        </w:rPr>
        <w:t xml:space="preserve">--downright foolish.  </w:t>
      </w:r>
      <w:r w:rsidR="00E54996">
        <w:rPr>
          <w:rFonts w:ascii="Times New Roman" w:eastAsia="Times New Roman" w:hAnsi="Times New Roman" w:cs="Times New Roman"/>
          <w:sz w:val="24"/>
          <w:szCs w:val="24"/>
          <w:lang w:val="en"/>
        </w:rPr>
        <w:t xml:space="preserve">Barth </w:t>
      </w:r>
      <w:r w:rsidR="00463F13">
        <w:rPr>
          <w:rFonts w:ascii="Times New Roman" w:eastAsia="Times New Roman" w:hAnsi="Times New Roman" w:cs="Times New Roman"/>
          <w:sz w:val="24"/>
          <w:szCs w:val="24"/>
          <w:lang w:val="en"/>
        </w:rPr>
        <w:t xml:space="preserve">(2001) </w:t>
      </w:r>
      <w:r w:rsidR="00E54996">
        <w:rPr>
          <w:rFonts w:ascii="Times New Roman" w:eastAsia="Times New Roman" w:hAnsi="Times New Roman" w:cs="Times New Roman"/>
          <w:sz w:val="24"/>
          <w:szCs w:val="24"/>
          <w:lang w:val="en"/>
        </w:rPr>
        <w:t xml:space="preserve">explains that teachers </w:t>
      </w:r>
      <w:r w:rsidR="00463F13">
        <w:rPr>
          <w:rFonts w:ascii="Times New Roman" w:eastAsia="Times New Roman" w:hAnsi="Times New Roman" w:cs="Times New Roman"/>
          <w:sz w:val="24"/>
          <w:szCs w:val="24"/>
          <w:lang w:val="en"/>
        </w:rPr>
        <w:t>do not like risk, and risk is precisely what is required to introduce a transformation</w:t>
      </w:r>
      <w:r w:rsidR="00E54996">
        <w:rPr>
          <w:rFonts w:ascii="Times New Roman" w:eastAsia="Times New Roman" w:hAnsi="Times New Roman" w:cs="Times New Roman"/>
          <w:sz w:val="24"/>
          <w:szCs w:val="24"/>
          <w:lang w:val="en"/>
        </w:rPr>
        <w:t xml:space="preserve">. </w:t>
      </w:r>
      <w:r w:rsidR="00463F13">
        <w:rPr>
          <w:rFonts w:ascii="Times New Roman" w:eastAsia="Times New Roman" w:hAnsi="Times New Roman" w:cs="Times New Roman"/>
          <w:sz w:val="24"/>
          <w:szCs w:val="24"/>
          <w:lang w:val="en"/>
        </w:rPr>
        <w:t xml:space="preserve">A lack of confidence is also to blame for the fear of speaking up. Teachers may not believe in themselves </w:t>
      </w:r>
      <w:r w:rsidR="00B65051">
        <w:rPr>
          <w:rFonts w:ascii="Times New Roman" w:eastAsia="Times New Roman" w:hAnsi="Times New Roman" w:cs="Times New Roman"/>
          <w:sz w:val="24"/>
          <w:szCs w:val="24"/>
          <w:lang w:val="en"/>
        </w:rPr>
        <w:t xml:space="preserve">enough </w:t>
      </w:r>
      <w:r w:rsidR="00463F13">
        <w:rPr>
          <w:rFonts w:ascii="Times New Roman" w:eastAsia="Times New Roman" w:hAnsi="Times New Roman" w:cs="Times New Roman"/>
          <w:sz w:val="24"/>
          <w:szCs w:val="24"/>
          <w:lang w:val="en"/>
        </w:rPr>
        <w:t>to trust that th</w:t>
      </w:r>
      <w:r w:rsidR="00B65051">
        <w:rPr>
          <w:rFonts w:ascii="Times New Roman" w:eastAsia="Times New Roman" w:hAnsi="Times New Roman" w:cs="Times New Roman"/>
          <w:sz w:val="24"/>
          <w:szCs w:val="24"/>
          <w:lang w:val="en"/>
        </w:rPr>
        <w:t>eir</w:t>
      </w:r>
      <w:r w:rsidR="00463F13">
        <w:rPr>
          <w:rFonts w:ascii="Times New Roman" w:eastAsia="Times New Roman" w:hAnsi="Times New Roman" w:cs="Times New Roman"/>
          <w:sz w:val="24"/>
          <w:szCs w:val="24"/>
          <w:lang w:val="en"/>
        </w:rPr>
        <w:t xml:space="preserve"> passion and problem-solving </w:t>
      </w:r>
      <w:r w:rsidR="00B65051">
        <w:rPr>
          <w:rFonts w:ascii="Times New Roman" w:eastAsia="Times New Roman" w:hAnsi="Times New Roman" w:cs="Times New Roman"/>
          <w:sz w:val="24"/>
          <w:szCs w:val="24"/>
          <w:lang w:val="en"/>
        </w:rPr>
        <w:t>skills</w:t>
      </w:r>
      <w:r w:rsidR="00463F13">
        <w:rPr>
          <w:rFonts w:ascii="Times New Roman" w:eastAsia="Times New Roman" w:hAnsi="Times New Roman" w:cs="Times New Roman"/>
          <w:sz w:val="24"/>
          <w:szCs w:val="24"/>
          <w:lang w:val="en"/>
        </w:rPr>
        <w:t xml:space="preserve"> are meaningful </w:t>
      </w:r>
      <w:r w:rsidR="00B65051">
        <w:rPr>
          <w:rFonts w:ascii="Times New Roman" w:eastAsia="Times New Roman" w:hAnsi="Times New Roman" w:cs="Times New Roman"/>
          <w:sz w:val="24"/>
          <w:szCs w:val="24"/>
          <w:lang w:val="en"/>
        </w:rPr>
        <w:t>contributions</w:t>
      </w:r>
      <w:r w:rsidR="00463F13">
        <w:rPr>
          <w:rFonts w:ascii="Times New Roman" w:eastAsia="Times New Roman" w:hAnsi="Times New Roman" w:cs="Times New Roman"/>
          <w:sz w:val="24"/>
          <w:szCs w:val="24"/>
          <w:lang w:val="en"/>
        </w:rPr>
        <w:t xml:space="preserve"> to the institution. </w:t>
      </w:r>
      <w:r w:rsidR="0025323E">
        <w:rPr>
          <w:rFonts w:ascii="Times New Roman" w:eastAsia="Times New Roman" w:hAnsi="Times New Roman" w:cs="Times New Roman"/>
          <w:sz w:val="24"/>
          <w:szCs w:val="24"/>
          <w:lang w:val="en"/>
        </w:rPr>
        <w:t>As David Hollister</w:t>
      </w:r>
      <w:r w:rsidR="00C16320">
        <w:rPr>
          <w:rFonts w:ascii="Times New Roman" w:eastAsia="Times New Roman" w:hAnsi="Times New Roman" w:cs="Times New Roman"/>
          <w:sz w:val="24"/>
          <w:szCs w:val="24"/>
          <w:lang w:val="en"/>
        </w:rPr>
        <w:t xml:space="preserve"> (</w:t>
      </w:r>
      <w:proofErr w:type="spellStart"/>
      <w:r w:rsidR="00C16320">
        <w:rPr>
          <w:rFonts w:ascii="Times New Roman" w:eastAsia="Times New Roman" w:hAnsi="Times New Roman" w:cs="Times New Roman"/>
          <w:sz w:val="24"/>
          <w:szCs w:val="24"/>
          <w:lang w:val="en"/>
        </w:rPr>
        <w:t>n.d.</w:t>
      </w:r>
      <w:proofErr w:type="spellEnd"/>
      <w:r w:rsidR="00C16320">
        <w:rPr>
          <w:rFonts w:ascii="Times New Roman" w:eastAsia="Times New Roman" w:hAnsi="Times New Roman" w:cs="Times New Roman"/>
          <w:sz w:val="24"/>
          <w:szCs w:val="24"/>
          <w:lang w:val="en"/>
        </w:rPr>
        <w:t>)</w:t>
      </w:r>
      <w:r w:rsidR="0025323E">
        <w:rPr>
          <w:rFonts w:ascii="Times New Roman" w:eastAsia="Times New Roman" w:hAnsi="Times New Roman" w:cs="Times New Roman"/>
          <w:sz w:val="24"/>
          <w:szCs w:val="24"/>
          <w:lang w:val="en"/>
        </w:rPr>
        <w:t xml:space="preserve"> explains in an article for the </w:t>
      </w:r>
      <w:r w:rsidR="009E0DEB">
        <w:rPr>
          <w:rFonts w:ascii="Times New Roman" w:eastAsia="Times New Roman" w:hAnsi="Times New Roman" w:cs="Times New Roman"/>
          <w:sz w:val="24"/>
          <w:szCs w:val="24"/>
          <w:lang w:val="en"/>
        </w:rPr>
        <w:t>Institute</w:t>
      </w:r>
      <w:r w:rsidR="0025323E">
        <w:rPr>
          <w:rFonts w:ascii="Times New Roman" w:eastAsia="Times New Roman" w:hAnsi="Times New Roman" w:cs="Times New Roman"/>
          <w:sz w:val="24"/>
          <w:szCs w:val="24"/>
          <w:lang w:val="en"/>
        </w:rPr>
        <w:t xml:space="preserve"> of Educational Leadership</w:t>
      </w:r>
      <w:r w:rsidR="009E0DEB">
        <w:rPr>
          <w:rFonts w:ascii="Times New Roman" w:eastAsia="Times New Roman" w:hAnsi="Times New Roman" w:cs="Times New Roman"/>
          <w:sz w:val="24"/>
          <w:szCs w:val="24"/>
          <w:lang w:val="en"/>
        </w:rPr>
        <w:t>, teachers should not be intimidated by the process of presenting a proposal. If they</w:t>
      </w:r>
      <w:r w:rsidR="00584055">
        <w:rPr>
          <w:rFonts w:ascii="Times New Roman" w:eastAsia="Times New Roman" w:hAnsi="Times New Roman" w:cs="Times New Roman"/>
          <w:sz w:val="24"/>
          <w:szCs w:val="24"/>
          <w:lang w:val="en"/>
        </w:rPr>
        <w:t xml:space="preserve"> believe in </w:t>
      </w:r>
      <w:r w:rsidR="009E0DEB">
        <w:rPr>
          <w:rFonts w:ascii="Times New Roman" w:eastAsia="Times New Roman" w:hAnsi="Times New Roman" w:cs="Times New Roman"/>
          <w:sz w:val="24"/>
          <w:szCs w:val="24"/>
          <w:lang w:val="en"/>
        </w:rPr>
        <w:t>their</w:t>
      </w:r>
      <w:r w:rsidR="00584055">
        <w:rPr>
          <w:rFonts w:ascii="Times New Roman" w:eastAsia="Times New Roman" w:hAnsi="Times New Roman" w:cs="Times New Roman"/>
          <w:sz w:val="24"/>
          <w:szCs w:val="24"/>
          <w:lang w:val="en"/>
        </w:rPr>
        <w:t xml:space="preserve"> vision, </w:t>
      </w:r>
      <w:r w:rsidR="009E0DEB">
        <w:rPr>
          <w:rFonts w:ascii="Times New Roman" w:eastAsia="Times New Roman" w:hAnsi="Times New Roman" w:cs="Times New Roman"/>
          <w:sz w:val="24"/>
          <w:szCs w:val="24"/>
          <w:lang w:val="en"/>
        </w:rPr>
        <w:t>teachers</w:t>
      </w:r>
      <w:r w:rsidR="00584055">
        <w:rPr>
          <w:rFonts w:ascii="Times New Roman" w:eastAsia="Times New Roman" w:hAnsi="Times New Roman" w:cs="Times New Roman"/>
          <w:sz w:val="24"/>
          <w:szCs w:val="24"/>
          <w:lang w:val="en"/>
        </w:rPr>
        <w:t xml:space="preserve"> need to share </w:t>
      </w:r>
      <w:r w:rsidR="009E0DEB">
        <w:rPr>
          <w:rFonts w:ascii="Times New Roman" w:eastAsia="Times New Roman" w:hAnsi="Times New Roman" w:cs="Times New Roman"/>
          <w:sz w:val="24"/>
          <w:szCs w:val="24"/>
          <w:lang w:val="en"/>
        </w:rPr>
        <w:t>their</w:t>
      </w:r>
      <w:r w:rsidR="00584055">
        <w:rPr>
          <w:rFonts w:ascii="Times New Roman" w:eastAsia="Times New Roman" w:hAnsi="Times New Roman" w:cs="Times New Roman"/>
          <w:sz w:val="24"/>
          <w:szCs w:val="24"/>
          <w:lang w:val="en"/>
        </w:rPr>
        <w:t xml:space="preserve"> emotional and intellectual commitment if </w:t>
      </w:r>
      <w:r w:rsidR="009E0DEB">
        <w:rPr>
          <w:rFonts w:ascii="Times New Roman" w:eastAsia="Times New Roman" w:hAnsi="Times New Roman" w:cs="Times New Roman"/>
          <w:sz w:val="24"/>
          <w:szCs w:val="24"/>
          <w:lang w:val="en"/>
        </w:rPr>
        <w:t>they</w:t>
      </w:r>
      <w:r w:rsidR="00584055">
        <w:rPr>
          <w:rFonts w:ascii="Times New Roman" w:eastAsia="Times New Roman" w:hAnsi="Times New Roman" w:cs="Times New Roman"/>
          <w:sz w:val="24"/>
          <w:szCs w:val="24"/>
          <w:lang w:val="en"/>
        </w:rPr>
        <w:t xml:space="preserve"> intend to have any effect. Hollister has described emotional commitment as traditional activism, and</w:t>
      </w:r>
      <w:r w:rsidR="00714B62">
        <w:rPr>
          <w:rFonts w:ascii="Times New Roman" w:eastAsia="Times New Roman" w:hAnsi="Times New Roman" w:cs="Times New Roman"/>
          <w:sz w:val="24"/>
          <w:szCs w:val="24"/>
          <w:lang w:val="en"/>
        </w:rPr>
        <w:t xml:space="preserve"> has ascertained that these folks</w:t>
      </w:r>
      <w:r w:rsidR="00584055">
        <w:rPr>
          <w:rFonts w:ascii="Times New Roman" w:eastAsia="Times New Roman" w:hAnsi="Times New Roman" w:cs="Times New Roman"/>
          <w:sz w:val="24"/>
          <w:szCs w:val="24"/>
          <w:lang w:val="en"/>
        </w:rPr>
        <w:t xml:space="preserve"> “</w:t>
      </w:r>
      <w:r w:rsidR="00584055" w:rsidRPr="00584055">
        <w:rPr>
          <w:rFonts w:ascii="Times New Roman" w:eastAsia="Times New Roman" w:hAnsi="Times New Roman" w:cs="Times New Roman"/>
          <w:sz w:val="24"/>
          <w:szCs w:val="24"/>
          <w:lang w:val="en"/>
        </w:rPr>
        <w:t>are highly motivated and are anxious to get involved</w:t>
      </w:r>
      <w:r w:rsidR="00584055">
        <w:rPr>
          <w:rFonts w:ascii="Times New Roman" w:eastAsia="Times New Roman" w:hAnsi="Times New Roman" w:cs="Times New Roman"/>
          <w:sz w:val="24"/>
          <w:szCs w:val="24"/>
          <w:lang w:val="en"/>
        </w:rPr>
        <w:t xml:space="preserve"> to try to change conditions, but t</w:t>
      </w:r>
      <w:r w:rsidR="00584055" w:rsidRPr="00584055">
        <w:rPr>
          <w:rFonts w:ascii="Times New Roman" w:eastAsia="Times New Roman" w:hAnsi="Times New Roman" w:cs="Times New Roman"/>
          <w:sz w:val="24"/>
          <w:szCs w:val="24"/>
          <w:lang w:val="en"/>
        </w:rPr>
        <w:t>hey normally have little historica</w:t>
      </w:r>
      <w:r w:rsidR="00584055">
        <w:rPr>
          <w:rFonts w:ascii="Times New Roman" w:eastAsia="Times New Roman" w:hAnsi="Times New Roman" w:cs="Times New Roman"/>
          <w:sz w:val="24"/>
          <w:szCs w:val="24"/>
          <w:lang w:val="en"/>
        </w:rPr>
        <w:t xml:space="preserve">l perspective and are unable to </w:t>
      </w:r>
      <w:r w:rsidR="00584055" w:rsidRPr="00584055">
        <w:rPr>
          <w:rFonts w:ascii="Times New Roman" w:eastAsia="Times New Roman" w:hAnsi="Times New Roman" w:cs="Times New Roman"/>
          <w:sz w:val="24"/>
          <w:szCs w:val="24"/>
          <w:lang w:val="en"/>
        </w:rPr>
        <w:t>articulate the</w:t>
      </w:r>
      <w:r w:rsidR="00584055">
        <w:rPr>
          <w:rFonts w:ascii="Times New Roman" w:eastAsia="Times New Roman" w:hAnsi="Times New Roman" w:cs="Times New Roman"/>
          <w:sz w:val="24"/>
          <w:szCs w:val="24"/>
          <w:lang w:val="en"/>
        </w:rPr>
        <w:t xml:space="preserve">ir </w:t>
      </w:r>
      <w:r w:rsidR="00584055" w:rsidRPr="00584055">
        <w:rPr>
          <w:rFonts w:ascii="Times New Roman" w:eastAsia="Times New Roman" w:hAnsi="Times New Roman" w:cs="Times New Roman"/>
          <w:sz w:val="24"/>
          <w:szCs w:val="24"/>
          <w:lang w:val="en"/>
        </w:rPr>
        <w:t>goals.</w:t>
      </w:r>
      <w:r w:rsidR="00584055">
        <w:rPr>
          <w:rFonts w:ascii="Times New Roman" w:eastAsia="Times New Roman" w:hAnsi="Times New Roman" w:cs="Times New Roman"/>
          <w:sz w:val="24"/>
          <w:szCs w:val="24"/>
          <w:lang w:val="en"/>
        </w:rPr>
        <w:t xml:space="preserve"> On the other hand, someone who is intellectual</w:t>
      </w:r>
      <w:r w:rsidR="004643F4">
        <w:rPr>
          <w:rFonts w:ascii="Times New Roman" w:eastAsia="Times New Roman" w:hAnsi="Times New Roman" w:cs="Times New Roman"/>
          <w:sz w:val="24"/>
          <w:szCs w:val="24"/>
          <w:lang w:val="en"/>
        </w:rPr>
        <w:t>ly</w:t>
      </w:r>
      <w:r w:rsidR="00584055">
        <w:rPr>
          <w:rFonts w:ascii="Times New Roman" w:eastAsia="Times New Roman" w:hAnsi="Times New Roman" w:cs="Times New Roman"/>
          <w:sz w:val="24"/>
          <w:szCs w:val="24"/>
          <w:lang w:val="en"/>
        </w:rPr>
        <w:t xml:space="preserve"> </w:t>
      </w:r>
      <w:r w:rsidR="00714B62">
        <w:rPr>
          <w:rFonts w:ascii="Times New Roman" w:eastAsia="Times New Roman" w:hAnsi="Times New Roman" w:cs="Times New Roman"/>
          <w:sz w:val="24"/>
          <w:szCs w:val="24"/>
          <w:lang w:val="en"/>
        </w:rPr>
        <w:t xml:space="preserve">committed </w:t>
      </w:r>
      <w:r w:rsidR="00714B62" w:rsidRPr="00584055">
        <w:rPr>
          <w:rFonts w:ascii="Times New Roman" w:eastAsia="Times New Roman" w:hAnsi="Times New Roman" w:cs="Times New Roman"/>
          <w:sz w:val="24"/>
          <w:szCs w:val="24"/>
          <w:lang w:val="en"/>
        </w:rPr>
        <w:t>understands</w:t>
      </w:r>
      <w:r w:rsidR="00584055">
        <w:rPr>
          <w:rFonts w:ascii="Times New Roman" w:eastAsia="Times New Roman" w:hAnsi="Times New Roman" w:cs="Times New Roman"/>
          <w:sz w:val="24"/>
          <w:szCs w:val="24"/>
          <w:lang w:val="en"/>
        </w:rPr>
        <w:t xml:space="preserve"> the historical significance </w:t>
      </w:r>
      <w:r w:rsidR="00B87D30">
        <w:rPr>
          <w:rFonts w:ascii="Times New Roman" w:eastAsia="Times New Roman" w:hAnsi="Times New Roman" w:cs="Times New Roman"/>
          <w:sz w:val="24"/>
          <w:szCs w:val="24"/>
          <w:lang w:val="en"/>
        </w:rPr>
        <w:t xml:space="preserve">of </w:t>
      </w:r>
      <w:r w:rsidR="00584055">
        <w:rPr>
          <w:rFonts w:ascii="Times New Roman" w:eastAsia="Times New Roman" w:hAnsi="Times New Roman" w:cs="Times New Roman"/>
          <w:sz w:val="24"/>
          <w:szCs w:val="24"/>
          <w:lang w:val="en"/>
        </w:rPr>
        <w:t>t</w:t>
      </w:r>
      <w:r w:rsidR="00584055" w:rsidRPr="00584055">
        <w:rPr>
          <w:rFonts w:ascii="Times New Roman" w:eastAsia="Times New Roman" w:hAnsi="Times New Roman" w:cs="Times New Roman"/>
          <w:sz w:val="24"/>
          <w:szCs w:val="24"/>
          <w:lang w:val="en"/>
        </w:rPr>
        <w:t xml:space="preserve">he </w:t>
      </w:r>
      <w:r w:rsidR="00584055" w:rsidRPr="00584055">
        <w:rPr>
          <w:rFonts w:ascii="Times New Roman" w:eastAsia="Times New Roman" w:hAnsi="Times New Roman" w:cs="Times New Roman"/>
          <w:sz w:val="24"/>
          <w:szCs w:val="24"/>
          <w:lang w:val="en"/>
        </w:rPr>
        <w:lastRenderedPageBreak/>
        <w:t>change being advocated</w:t>
      </w:r>
      <w:r w:rsidR="00584055">
        <w:rPr>
          <w:rFonts w:ascii="Times New Roman" w:eastAsia="Times New Roman" w:hAnsi="Times New Roman" w:cs="Times New Roman"/>
          <w:sz w:val="24"/>
          <w:szCs w:val="24"/>
          <w:lang w:val="en"/>
        </w:rPr>
        <w:t xml:space="preserve"> and</w:t>
      </w:r>
      <w:r w:rsidR="00584055" w:rsidRPr="00584055">
        <w:rPr>
          <w:rFonts w:ascii="Times New Roman" w:eastAsia="Times New Roman" w:hAnsi="Times New Roman" w:cs="Times New Roman"/>
          <w:sz w:val="24"/>
          <w:szCs w:val="24"/>
          <w:lang w:val="en"/>
        </w:rPr>
        <w:t xml:space="preserve"> ha</w:t>
      </w:r>
      <w:r w:rsidR="00714B62">
        <w:rPr>
          <w:rFonts w:ascii="Times New Roman" w:eastAsia="Times New Roman" w:hAnsi="Times New Roman" w:cs="Times New Roman"/>
          <w:sz w:val="24"/>
          <w:szCs w:val="24"/>
          <w:lang w:val="en"/>
        </w:rPr>
        <w:t>s</w:t>
      </w:r>
      <w:r w:rsidR="00584055" w:rsidRPr="00584055">
        <w:rPr>
          <w:rFonts w:ascii="Times New Roman" w:eastAsia="Times New Roman" w:hAnsi="Times New Roman" w:cs="Times New Roman"/>
          <w:sz w:val="24"/>
          <w:szCs w:val="24"/>
          <w:lang w:val="en"/>
        </w:rPr>
        <w:t xml:space="preserve"> a sophisticated understanding</w:t>
      </w:r>
      <w:r w:rsidR="00714B62">
        <w:rPr>
          <w:rFonts w:ascii="Times New Roman" w:eastAsia="Times New Roman" w:hAnsi="Times New Roman" w:cs="Times New Roman"/>
          <w:sz w:val="24"/>
          <w:szCs w:val="24"/>
          <w:lang w:val="en"/>
        </w:rPr>
        <w:t xml:space="preserve"> of the interrelationships, the nu</w:t>
      </w:r>
      <w:r w:rsidR="00584055" w:rsidRPr="00584055">
        <w:rPr>
          <w:rFonts w:ascii="Times New Roman" w:eastAsia="Times New Roman" w:hAnsi="Times New Roman" w:cs="Times New Roman"/>
          <w:sz w:val="24"/>
          <w:szCs w:val="24"/>
          <w:lang w:val="en"/>
        </w:rPr>
        <w:t>ances</w:t>
      </w:r>
      <w:r w:rsidR="00B87D30">
        <w:rPr>
          <w:rFonts w:ascii="Times New Roman" w:eastAsia="Times New Roman" w:hAnsi="Times New Roman" w:cs="Times New Roman"/>
          <w:sz w:val="24"/>
          <w:szCs w:val="24"/>
          <w:lang w:val="en"/>
        </w:rPr>
        <w:t>,</w:t>
      </w:r>
      <w:r w:rsidR="00584055" w:rsidRPr="00584055">
        <w:rPr>
          <w:rFonts w:ascii="Times New Roman" w:eastAsia="Times New Roman" w:hAnsi="Times New Roman" w:cs="Times New Roman"/>
          <w:sz w:val="24"/>
          <w:szCs w:val="24"/>
          <w:lang w:val="en"/>
        </w:rPr>
        <w:t xml:space="preserve"> and </w:t>
      </w:r>
      <w:r w:rsidR="00714B62">
        <w:rPr>
          <w:rFonts w:ascii="Times New Roman" w:eastAsia="Times New Roman" w:hAnsi="Times New Roman" w:cs="Times New Roman"/>
          <w:sz w:val="24"/>
          <w:szCs w:val="24"/>
          <w:lang w:val="en"/>
        </w:rPr>
        <w:t>the subtleties of the situation” (</w:t>
      </w:r>
      <w:r w:rsidR="00C16320">
        <w:rPr>
          <w:rFonts w:ascii="Times New Roman" w:eastAsia="Times New Roman" w:hAnsi="Times New Roman" w:cs="Times New Roman"/>
          <w:sz w:val="24"/>
          <w:szCs w:val="24"/>
          <w:lang w:val="en"/>
        </w:rPr>
        <w:t xml:space="preserve">p. </w:t>
      </w:r>
      <w:r w:rsidR="00714B62">
        <w:rPr>
          <w:rFonts w:ascii="Times New Roman" w:eastAsia="Times New Roman" w:hAnsi="Times New Roman" w:cs="Times New Roman"/>
          <w:sz w:val="24"/>
          <w:szCs w:val="24"/>
          <w:lang w:val="en"/>
        </w:rPr>
        <w:t>27). Ultimately, Hollister has suggested that both levels of commitment are crucial to a leader’s strategy.</w:t>
      </w:r>
      <w:r w:rsidR="009E0DEB">
        <w:rPr>
          <w:rFonts w:ascii="Times New Roman" w:eastAsia="Times New Roman" w:hAnsi="Times New Roman" w:cs="Times New Roman"/>
          <w:sz w:val="24"/>
          <w:szCs w:val="24"/>
          <w:lang w:val="en"/>
        </w:rPr>
        <w:t xml:space="preserve"> Finally, Hollister recommends that teachers should not accept a negative response</w:t>
      </w:r>
      <w:r w:rsidR="008C0777">
        <w:rPr>
          <w:rFonts w:ascii="Times New Roman" w:eastAsia="Times New Roman" w:hAnsi="Times New Roman" w:cs="Times New Roman"/>
          <w:sz w:val="24"/>
          <w:szCs w:val="24"/>
          <w:lang w:val="en"/>
        </w:rPr>
        <w:t xml:space="preserve"> from formal decision-makers</w:t>
      </w:r>
      <w:r w:rsidR="009E0DEB">
        <w:rPr>
          <w:rFonts w:ascii="Times New Roman" w:eastAsia="Times New Roman" w:hAnsi="Times New Roman" w:cs="Times New Roman"/>
          <w:sz w:val="24"/>
          <w:szCs w:val="24"/>
          <w:lang w:val="en"/>
        </w:rPr>
        <w:t xml:space="preserve">. He explains that no matter how logical or </w:t>
      </w:r>
      <w:r w:rsidR="00704B53">
        <w:rPr>
          <w:rFonts w:ascii="Times New Roman" w:eastAsia="Times New Roman" w:hAnsi="Times New Roman" w:cs="Times New Roman"/>
          <w:sz w:val="24"/>
          <w:szCs w:val="24"/>
          <w:lang w:val="en"/>
        </w:rPr>
        <w:t>practical</w:t>
      </w:r>
      <w:r w:rsidR="009E0DEB">
        <w:rPr>
          <w:rFonts w:ascii="Times New Roman" w:eastAsia="Times New Roman" w:hAnsi="Times New Roman" w:cs="Times New Roman"/>
          <w:sz w:val="24"/>
          <w:szCs w:val="24"/>
          <w:lang w:val="en"/>
        </w:rPr>
        <w:t xml:space="preserve"> an idea is, it will likely not be accepted the first time it is presented. Instead, teachers should expect</w:t>
      </w:r>
      <w:r w:rsidR="00B96F48">
        <w:rPr>
          <w:rFonts w:ascii="Times New Roman" w:eastAsia="Times New Roman" w:hAnsi="Times New Roman" w:cs="Times New Roman"/>
          <w:sz w:val="24"/>
          <w:szCs w:val="24"/>
          <w:lang w:val="en"/>
        </w:rPr>
        <w:t xml:space="preserve"> to answer </w:t>
      </w:r>
      <w:r w:rsidR="00D855E2">
        <w:rPr>
          <w:rFonts w:ascii="Times New Roman" w:eastAsia="Times New Roman" w:hAnsi="Times New Roman" w:cs="Times New Roman"/>
          <w:sz w:val="24"/>
          <w:szCs w:val="24"/>
          <w:lang w:val="en"/>
        </w:rPr>
        <w:t xml:space="preserve">tough and sometimes even hostile </w:t>
      </w:r>
      <w:r w:rsidR="00B96F48">
        <w:rPr>
          <w:rFonts w:ascii="Times New Roman" w:eastAsia="Times New Roman" w:hAnsi="Times New Roman" w:cs="Times New Roman"/>
          <w:sz w:val="24"/>
          <w:szCs w:val="24"/>
          <w:lang w:val="en"/>
        </w:rPr>
        <w:t xml:space="preserve">questions </w:t>
      </w:r>
      <w:r w:rsidR="00D855E2">
        <w:rPr>
          <w:rFonts w:ascii="Times New Roman" w:eastAsia="Times New Roman" w:hAnsi="Times New Roman" w:cs="Times New Roman"/>
          <w:sz w:val="24"/>
          <w:szCs w:val="24"/>
          <w:lang w:val="en"/>
        </w:rPr>
        <w:t>and go</w:t>
      </w:r>
      <w:r w:rsidR="00B96F48">
        <w:rPr>
          <w:rFonts w:ascii="Times New Roman" w:eastAsia="Times New Roman" w:hAnsi="Times New Roman" w:cs="Times New Roman"/>
          <w:sz w:val="24"/>
          <w:szCs w:val="24"/>
          <w:lang w:val="en"/>
        </w:rPr>
        <w:t xml:space="preserve"> back and </w:t>
      </w:r>
      <w:r w:rsidR="00D855E2">
        <w:rPr>
          <w:rFonts w:ascii="Times New Roman" w:eastAsia="Times New Roman" w:hAnsi="Times New Roman" w:cs="Times New Roman"/>
          <w:sz w:val="24"/>
          <w:szCs w:val="24"/>
          <w:lang w:val="en"/>
        </w:rPr>
        <w:t>modify their plan</w:t>
      </w:r>
      <w:r w:rsidR="00B96F48">
        <w:rPr>
          <w:rFonts w:ascii="Times New Roman" w:eastAsia="Times New Roman" w:hAnsi="Times New Roman" w:cs="Times New Roman"/>
          <w:sz w:val="24"/>
          <w:szCs w:val="24"/>
          <w:lang w:val="en"/>
        </w:rPr>
        <w:t xml:space="preserve"> with </w:t>
      </w:r>
      <w:r w:rsidR="009A7628">
        <w:rPr>
          <w:rFonts w:ascii="Times New Roman" w:eastAsia="Times New Roman" w:hAnsi="Times New Roman" w:cs="Times New Roman"/>
          <w:sz w:val="24"/>
          <w:szCs w:val="24"/>
          <w:lang w:val="en"/>
        </w:rPr>
        <w:t xml:space="preserve">the </w:t>
      </w:r>
      <w:r w:rsidR="00B96F48">
        <w:rPr>
          <w:rFonts w:ascii="Times New Roman" w:eastAsia="Times New Roman" w:hAnsi="Times New Roman" w:cs="Times New Roman"/>
          <w:sz w:val="24"/>
          <w:szCs w:val="24"/>
          <w:lang w:val="en"/>
        </w:rPr>
        <w:t xml:space="preserve">intention of presenting the idea again.  </w:t>
      </w:r>
      <w:r w:rsidR="009E0DEB">
        <w:rPr>
          <w:rFonts w:ascii="Times New Roman" w:eastAsia="Times New Roman" w:hAnsi="Times New Roman" w:cs="Times New Roman"/>
          <w:sz w:val="24"/>
          <w:szCs w:val="24"/>
          <w:lang w:val="en"/>
        </w:rPr>
        <w:t xml:space="preserve">  </w:t>
      </w:r>
    </w:p>
    <w:p w:rsidR="00F40902" w:rsidRDefault="00F40902" w:rsidP="00C60ABD">
      <w:pPr>
        <w:spacing w:after="0" w:line="480" w:lineRule="auto"/>
        <w:ind w:firstLine="720"/>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Implementation</w:t>
      </w:r>
    </w:p>
    <w:p w:rsidR="006F1FE9" w:rsidRDefault="00F40902" w:rsidP="006F1FE9">
      <w:pPr>
        <w:spacing w:after="0" w:line="480" w:lineRule="auto"/>
        <w:ind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Often, once a teacher gains the approval required for reform, he or she treats it as a victory and assumes no further responsibility.  It is, however, crucial that the teacher be ready and willing to take the necessary action to implement the change. A teacher cannot assume that an administrator or other personnel will take the initiative to implement the change.</w:t>
      </w:r>
      <w:r w:rsidR="00837ADF">
        <w:rPr>
          <w:rFonts w:ascii="Times New Roman" w:eastAsia="Times New Roman" w:hAnsi="Times New Roman" w:cs="Times New Roman"/>
          <w:sz w:val="24"/>
          <w:szCs w:val="24"/>
          <w:lang w:val="en"/>
        </w:rPr>
        <w:t xml:space="preserve"> In the case of establishing an emergency fund, I do not expect to have to allocate funds if the project is approved</w:t>
      </w:r>
      <w:r w:rsidR="006F1FE9">
        <w:rPr>
          <w:rFonts w:ascii="Times New Roman" w:eastAsia="Times New Roman" w:hAnsi="Times New Roman" w:cs="Times New Roman"/>
          <w:sz w:val="24"/>
          <w:szCs w:val="24"/>
          <w:lang w:val="en"/>
        </w:rPr>
        <w:t xml:space="preserve">, </w:t>
      </w:r>
      <w:r w:rsidR="00D855E2">
        <w:rPr>
          <w:rFonts w:ascii="Times New Roman" w:eastAsia="Times New Roman" w:hAnsi="Times New Roman" w:cs="Times New Roman"/>
          <w:sz w:val="24"/>
          <w:szCs w:val="24"/>
          <w:lang w:val="en"/>
        </w:rPr>
        <w:t>and I</w:t>
      </w:r>
      <w:r w:rsidR="006F1FE9">
        <w:rPr>
          <w:rFonts w:ascii="Times New Roman" w:eastAsia="Times New Roman" w:hAnsi="Times New Roman" w:cs="Times New Roman"/>
          <w:sz w:val="24"/>
          <w:szCs w:val="24"/>
          <w:lang w:val="en"/>
        </w:rPr>
        <w:t xml:space="preserve"> </w:t>
      </w:r>
      <w:r w:rsidR="004E60FC">
        <w:rPr>
          <w:rFonts w:ascii="Times New Roman" w:eastAsia="Times New Roman" w:hAnsi="Times New Roman" w:cs="Times New Roman"/>
          <w:sz w:val="24"/>
          <w:szCs w:val="24"/>
          <w:lang w:val="en"/>
        </w:rPr>
        <w:t xml:space="preserve">am </w:t>
      </w:r>
      <w:r w:rsidR="00D855E2">
        <w:rPr>
          <w:rFonts w:ascii="Times New Roman" w:eastAsia="Times New Roman" w:hAnsi="Times New Roman" w:cs="Times New Roman"/>
          <w:sz w:val="24"/>
          <w:szCs w:val="24"/>
          <w:lang w:val="en"/>
        </w:rPr>
        <w:t xml:space="preserve">certainly </w:t>
      </w:r>
      <w:r w:rsidR="004E60FC">
        <w:rPr>
          <w:rFonts w:ascii="Times New Roman" w:eastAsia="Times New Roman" w:hAnsi="Times New Roman" w:cs="Times New Roman"/>
          <w:sz w:val="24"/>
          <w:szCs w:val="24"/>
          <w:lang w:val="en"/>
        </w:rPr>
        <w:t xml:space="preserve">not </w:t>
      </w:r>
      <w:r w:rsidR="006F1FE9">
        <w:rPr>
          <w:rFonts w:ascii="Times New Roman" w:eastAsia="Times New Roman" w:hAnsi="Times New Roman" w:cs="Times New Roman"/>
          <w:sz w:val="24"/>
          <w:szCs w:val="24"/>
          <w:lang w:val="en"/>
        </w:rPr>
        <w:t>qualified to do so</w:t>
      </w:r>
      <w:r w:rsidR="00837ADF">
        <w:rPr>
          <w:rFonts w:ascii="Times New Roman" w:eastAsia="Times New Roman" w:hAnsi="Times New Roman" w:cs="Times New Roman"/>
          <w:sz w:val="24"/>
          <w:szCs w:val="24"/>
          <w:lang w:val="en"/>
        </w:rPr>
        <w:t xml:space="preserve">; however, I do anticipate putting in the time and effort to promote the fund to instructors, students, and the community. I also </w:t>
      </w:r>
      <w:r w:rsidR="00272CDD">
        <w:rPr>
          <w:rFonts w:ascii="Times New Roman" w:eastAsia="Times New Roman" w:hAnsi="Times New Roman" w:cs="Times New Roman"/>
          <w:sz w:val="24"/>
          <w:szCs w:val="24"/>
          <w:lang w:val="en"/>
        </w:rPr>
        <w:t xml:space="preserve">expect to </w:t>
      </w:r>
      <w:r w:rsidR="00837ADF">
        <w:rPr>
          <w:rFonts w:ascii="Times New Roman" w:eastAsia="Times New Roman" w:hAnsi="Times New Roman" w:cs="Times New Roman"/>
          <w:sz w:val="24"/>
          <w:szCs w:val="24"/>
          <w:lang w:val="en"/>
        </w:rPr>
        <w:t xml:space="preserve">speak about the fund during professional development conferences and </w:t>
      </w:r>
      <w:r w:rsidR="00272CDD">
        <w:rPr>
          <w:rFonts w:ascii="Times New Roman" w:eastAsia="Times New Roman" w:hAnsi="Times New Roman" w:cs="Times New Roman"/>
          <w:sz w:val="24"/>
          <w:szCs w:val="24"/>
          <w:lang w:val="en"/>
        </w:rPr>
        <w:t xml:space="preserve">other meetings to </w:t>
      </w:r>
      <w:r w:rsidR="00837ADF">
        <w:rPr>
          <w:rFonts w:ascii="Times New Roman" w:eastAsia="Times New Roman" w:hAnsi="Times New Roman" w:cs="Times New Roman"/>
          <w:sz w:val="24"/>
          <w:szCs w:val="24"/>
          <w:lang w:val="en"/>
        </w:rPr>
        <w:t xml:space="preserve">explain the fund, where it originates from, and how students can access it. </w:t>
      </w:r>
      <w:r w:rsidR="00B52DD9">
        <w:rPr>
          <w:rFonts w:ascii="Times New Roman" w:eastAsia="Times New Roman" w:hAnsi="Times New Roman" w:cs="Times New Roman"/>
          <w:sz w:val="24"/>
          <w:szCs w:val="24"/>
          <w:lang w:val="en"/>
        </w:rPr>
        <w:t>Furthermore, I foresee</w:t>
      </w:r>
      <w:r w:rsidR="0003356E">
        <w:rPr>
          <w:rFonts w:ascii="Times New Roman" w:eastAsia="Times New Roman" w:hAnsi="Times New Roman" w:cs="Times New Roman"/>
          <w:sz w:val="24"/>
          <w:szCs w:val="24"/>
          <w:lang w:val="en"/>
        </w:rPr>
        <w:t xml:space="preserve"> assum</w:t>
      </w:r>
      <w:r w:rsidR="00B52DD9">
        <w:rPr>
          <w:rFonts w:ascii="Times New Roman" w:eastAsia="Times New Roman" w:hAnsi="Times New Roman" w:cs="Times New Roman"/>
          <w:sz w:val="24"/>
          <w:szCs w:val="24"/>
          <w:lang w:val="en"/>
        </w:rPr>
        <w:t>ing</w:t>
      </w:r>
      <w:r w:rsidR="0003356E">
        <w:rPr>
          <w:rFonts w:ascii="Times New Roman" w:eastAsia="Times New Roman" w:hAnsi="Times New Roman" w:cs="Times New Roman"/>
          <w:sz w:val="24"/>
          <w:szCs w:val="24"/>
          <w:lang w:val="en"/>
        </w:rPr>
        <w:t xml:space="preserve"> responsibility for gathering </w:t>
      </w:r>
      <w:r w:rsidR="00431A69">
        <w:rPr>
          <w:rFonts w:ascii="Times New Roman" w:eastAsia="Times New Roman" w:hAnsi="Times New Roman" w:cs="Times New Roman"/>
          <w:sz w:val="24"/>
          <w:szCs w:val="24"/>
          <w:lang w:val="en"/>
        </w:rPr>
        <w:t xml:space="preserve">all </w:t>
      </w:r>
      <w:r w:rsidR="0003356E">
        <w:rPr>
          <w:rFonts w:ascii="Times New Roman" w:eastAsia="Times New Roman" w:hAnsi="Times New Roman" w:cs="Times New Roman"/>
          <w:sz w:val="24"/>
          <w:szCs w:val="24"/>
          <w:lang w:val="en"/>
        </w:rPr>
        <w:t>data</w:t>
      </w:r>
      <w:r w:rsidR="004E60FC">
        <w:rPr>
          <w:rFonts w:ascii="Times New Roman" w:eastAsia="Times New Roman" w:hAnsi="Times New Roman" w:cs="Times New Roman"/>
          <w:sz w:val="24"/>
          <w:szCs w:val="24"/>
          <w:lang w:val="en"/>
        </w:rPr>
        <w:t xml:space="preserve"> collected by instructors whose </w:t>
      </w:r>
      <w:r w:rsidR="00D855E2">
        <w:rPr>
          <w:rFonts w:ascii="Times New Roman" w:eastAsia="Times New Roman" w:hAnsi="Times New Roman" w:cs="Times New Roman"/>
          <w:sz w:val="24"/>
          <w:szCs w:val="24"/>
          <w:lang w:val="en"/>
        </w:rPr>
        <w:t xml:space="preserve">low-income </w:t>
      </w:r>
      <w:r w:rsidR="004E60FC">
        <w:rPr>
          <w:rFonts w:ascii="Times New Roman" w:eastAsia="Times New Roman" w:hAnsi="Times New Roman" w:cs="Times New Roman"/>
          <w:sz w:val="24"/>
          <w:szCs w:val="24"/>
          <w:lang w:val="en"/>
        </w:rPr>
        <w:t>students have utilized the fund</w:t>
      </w:r>
      <w:r w:rsidR="0003356E">
        <w:rPr>
          <w:rFonts w:ascii="Times New Roman" w:eastAsia="Times New Roman" w:hAnsi="Times New Roman" w:cs="Times New Roman"/>
          <w:sz w:val="24"/>
          <w:szCs w:val="24"/>
          <w:lang w:val="en"/>
        </w:rPr>
        <w:t xml:space="preserve">, analyzing </w:t>
      </w:r>
      <w:r w:rsidR="00431A69">
        <w:rPr>
          <w:rFonts w:ascii="Times New Roman" w:eastAsia="Times New Roman" w:hAnsi="Times New Roman" w:cs="Times New Roman"/>
          <w:sz w:val="24"/>
          <w:szCs w:val="24"/>
          <w:lang w:val="en"/>
        </w:rPr>
        <w:t>the data</w:t>
      </w:r>
      <w:r w:rsidR="0003356E">
        <w:rPr>
          <w:rFonts w:ascii="Times New Roman" w:eastAsia="Times New Roman" w:hAnsi="Times New Roman" w:cs="Times New Roman"/>
          <w:sz w:val="24"/>
          <w:szCs w:val="24"/>
          <w:lang w:val="en"/>
        </w:rPr>
        <w:t xml:space="preserve">, and documenting the </w:t>
      </w:r>
      <w:r w:rsidR="00431A69">
        <w:rPr>
          <w:rFonts w:ascii="Times New Roman" w:eastAsia="Times New Roman" w:hAnsi="Times New Roman" w:cs="Times New Roman"/>
          <w:sz w:val="24"/>
          <w:szCs w:val="24"/>
          <w:lang w:val="en"/>
        </w:rPr>
        <w:t xml:space="preserve">fund’s </w:t>
      </w:r>
      <w:r w:rsidR="0003356E">
        <w:rPr>
          <w:rFonts w:ascii="Times New Roman" w:eastAsia="Times New Roman" w:hAnsi="Times New Roman" w:cs="Times New Roman"/>
          <w:sz w:val="24"/>
          <w:szCs w:val="24"/>
          <w:lang w:val="en"/>
        </w:rPr>
        <w:t>effectiveness. Initially, results will be based on students who completed courses who might otherwise have had to drop out of school.  Evaluating the fund’s effectiveness in direct correlation to the attrition rate would have to be completed over a per</w:t>
      </w:r>
      <w:r w:rsidR="006F1FE9">
        <w:rPr>
          <w:rFonts w:ascii="Times New Roman" w:eastAsia="Times New Roman" w:hAnsi="Times New Roman" w:cs="Times New Roman"/>
          <w:sz w:val="24"/>
          <w:szCs w:val="24"/>
          <w:lang w:val="en"/>
        </w:rPr>
        <w:t xml:space="preserve">iod of approximately </w:t>
      </w:r>
      <w:r w:rsidR="00B52DD9">
        <w:rPr>
          <w:rFonts w:ascii="Times New Roman" w:eastAsia="Times New Roman" w:hAnsi="Times New Roman" w:cs="Times New Roman"/>
          <w:sz w:val="24"/>
          <w:szCs w:val="24"/>
          <w:lang w:val="en"/>
        </w:rPr>
        <w:t>4</w:t>
      </w:r>
      <w:r w:rsidR="006F1FE9">
        <w:rPr>
          <w:rFonts w:ascii="Times New Roman" w:eastAsia="Times New Roman" w:hAnsi="Times New Roman" w:cs="Times New Roman"/>
          <w:sz w:val="24"/>
          <w:szCs w:val="24"/>
          <w:lang w:val="en"/>
        </w:rPr>
        <w:t xml:space="preserve"> years, given the large </w:t>
      </w:r>
      <w:r w:rsidR="00B52DD9">
        <w:rPr>
          <w:rFonts w:ascii="Times New Roman" w:eastAsia="Times New Roman" w:hAnsi="Times New Roman" w:cs="Times New Roman"/>
          <w:sz w:val="24"/>
          <w:szCs w:val="24"/>
          <w:lang w:val="en"/>
        </w:rPr>
        <w:t>population</w:t>
      </w:r>
      <w:r w:rsidR="006F1FE9">
        <w:rPr>
          <w:rFonts w:ascii="Times New Roman" w:eastAsia="Times New Roman" w:hAnsi="Times New Roman" w:cs="Times New Roman"/>
          <w:sz w:val="24"/>
          <w:szCs w:val="24"/>
          <w:lang w:val="en"/>
        </w:rPr>
        <w:t xml:space="preserve"> of part-time students. Furthermore, if the anticipated outcome is not realized, it is critical for the teacher to </w:t>
      </w:r>
      <w:r w:rsidR="006F1FE9">
        <w:rPr>
          <w:rFonts w:ascii="Times New Roman" w:eastAsia="Times New Roman" w:hAnsi="Times New Roman" w:cs="Times New Roman"/>
          <w:sz w:val="24"/>
          <w:szCs w:val="24"/>
          <w:lang w:val="en"/>
        </w:rPr>
        <w:lastRenderedPageBreak/>
        <w:t>reevaluate and refine the project in an effort to make it more effective. An immediate change does not necessarily denote failure. In a case study relating to the implementation of education</w:t>
      </w:r>
      <w:r w:rsidR="004E60FC">
        <w:rPr>
          <w:rFonts w:ascii="Times New Roman" w:eastAsia="Times New Roman" w:hAnsi="Times New Roman" w:cs="Times New Roman"/>
          <w:sz w:val="24"/>
          <w:szCs w:val="24"/>
          <w:lang w:val="en"/>
        </w:rPr>
        <w:t>al</w:t>
      </w:r>
      <w:r w:rsidR="006F1FE9">
        <w:rPr>
          <w:rFonts w:ascii="Times New Roman" w:eastAsia="Times New Roman" w:hAnsi="Times New Roman" w:cs="Times New Roman"/>
          <w:sz w:val="24"/>
          <w:szCs w:val="24"/>
          <w:lang w:val="en"/>
        </w:rPr>
        <w:t xml:space="preserve"> reform,</w:t>
      </w:r>
      <w:r w:rsidR="006F1FE9" w:rsidRPr="006F1FE9">
        <w:rPr>
          <w:rFonts w:ascii="Times New Roman" w:eastAsia="Times New Roman" w:hAnsi="Times New Roman" w:cs="Times New Roman"/>
          <w:sz w:val="24"/>
          <w:szCs w:val="24"/>
          <w:lang w:val="en"/>
        </w:rPr>
        <w:t xml:space="preserve"> </w:t>
      </w:r>
      <w:r w:rsidR="006F1FE9">
        <w:rPr>
          <w:rFonts w:ascii="Times New Roman" w:eastAsia="Times New Roman" w:hAnsi="Times New Roman" w:cs="Times New Roman"/>
          <w:sz w:val="24"/>
          <w:szCs w:val="24"/>
          <w:lang w:val="en"/>
        </w:rPr>
        <w:t xml:space="preserve">Dove and </w:t>
      </w:r>
      <w:proofErr w:type="spellStart"/>
      <w:r w:rsidR="006F1FE9">
        <w:rPr>
          <w:rFonts w:ascii="Times New Roman" w:eastAsia="Times New Roman" w:hAnsi="Times New Roman" w:cs="Times New Roman"/>
          <w:sz w:val="24"/>
          <w:szCs w:val="24"/>
          <w:lang w:val="en"/>
        </w:rPr>
        <w:t>Freeley</w:t>
      </w:r>
      <w:proofErr w:type="spellEnd"/>
      <w:r w:rsidR="006F1FE9">
        <w:rPr>
          <w:rFonts w:ascii="Times New Roman" w:eastAsia="Times New Roman" w:hAnsi="Times New Roman" w:cs="Times New Roman"/>
          <w:sz w:val="24"/>
          <w:szCs w:val="24"/>
          <w:lang w:val="en"/>
        </w:rPr>
        <w:t xml:space="preserve"> (2011) concluded that innovations are not a one-time occurrence but rather an evolving</w:t>
      </w:r>
      <w:r w:rsidR="006F1FE9" w:rsidRPr="006F1FE9">
        <w:rPr>
          <w:rFonts w:ascii="Times New Roman" w:eastAsia="Times New Roman" w:hAnsi="Times New Roman" w:cs="Times New Roman"/>
          <w:sz w:val="24"/>
          <w:szCs w:val="24"/>
          <w:lang w:val="en"/>
        </w:rPr>
        <w:t xml:space="preserve"> </w:t>
      </w:r>
      <w:r w:rsidR="006F1FE9">
        <w:rPr>
          <w:rFonts w:ascii="Times New Roman" w:eastAsia="Times New Roman" w:hAnsi="Times New Roman" w:cs="Times New Roman"/>
          <w:sz w:val="24"/>
          <w:szCs w:val="24"/>
          <w:lang w:val="en"/>
        </w:rPr>
        <w:t xml:space="preserve">process that is first presented, then amended and sustained. </w:t>
      </w:r>
    </w:p>
    <w:p w:rsidR="004E60FC" w:rsidRDefault="004E60FC" w:rsidP="00725052">
      <w:pPr>
        <w:spacing w:after="0" w:line="480" w:lineRule="auto"/>
        <w:ind w:firstLine="720"/>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Conclusion</w:t>
      </w:r>
    </w:p>
    <w:p w:rsidR="00725052" w:rsidRPr="00533541" w:rsidRDefault="00725052" w:rsidP="00725052">
      <w:pPr>
        <w:spacing w:after="0" w:line="480" w:lineRule="auto"/>
        <w:ind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As </w:t>
      </w:r>
      <w:proofErr w:type="spellStart"/>
      <w:r>
        <w:rPr>
          <w:rFonts w:ascii="Times New Roman" w:eastAsia="Times New Roman" w:hAnsi="Times New Roman" w:cs="Times New Roman"/>
          <w:sz w:val="24"/>
          <w:szCs w:val="24"/>
          <w:lang w:val="en"/>
        </w:rPr>
        <w:t>Wetzler</w:t>
      </w:r>
      <w:proofErr w:type="spellEnd"/>
      <w:r>
        <w:rPr>
          <w:rFonts w:ascii="Times New Roman" w:eastAsia="Times New Roman" w:hAnsi="Times New Roman" w:cs="Times New Roman"/>
          <w:sz w:val="24"/>
          <w:szCs w:val="24"/>
          <w:lang w:val="en"/>
        </w:rPr>
        <w:t xml:space="preserve"> (2010) has expressed, “</w:t>
      </w:r>
      <w:r w:rsidRPr="00533541">
        <w:rPr>
          <w:rFonts w:ascii="Times New Roman" w:eastAsia="Times New Roman" w:hAnsi="Times New Roman" w:cs="Times New Roman"/>
          <w:sz w:val="24"/>
          <w:szCs w:val="24"/>
          <w:lang w:val="en"/>
        </w:rPr>
        <w:t>The bleak reality in our nation is that children's economic background and race are still the most reliable predictors of whether they will attend college</w:t>
      </w:r>
      <w:r>
        <w:rPr>
          <w:rFonts w:ascii="Times New Roman" w:eastAsia="Times New Roman" w:hAnsi="Times New Roman" w:cs="Times New Roman"/>
          <w:sz w:val="24"/>
          <w:szCs w:val="24"/>
          <w:lang w:val="en"/>
        </w:rPr>
        <w:t>” (p. 25).  Not only does economic background and race determine whether or not a student will attend college, but unfortunately, these distinguishing features play a substantial role in whether or not a student will persist in college.</w:t>
      </w:r>
      <w:r w:rsidR="00431A69">
        <w:rPr>
          <w:rFonts w:ascii="Times New Roman" w:eastAsia="Times New Roman" w:hAnsi="Times New Roman" w:cs="Times New Roman"/>
          <w:sz w:val="24"/>
          <w:szCs w:val="24"/>
          <w:lang w:val="en"/>
        </w:rPr>
        <w:t xml:space="preserve"> As a teacher leader, I must assume responsibility for these students, and champion for change where I observe an exigent need for transformation.</w:t>
      </w:r>
      <w:r w:rsidR="00EB012E">
        <w:rPr>
          <w:rFonts w:ascii="Times New Roman" w:eastAsia="Times New Roman" w:hAnsi="Times New Roman" w:cs="Times New Roman"/>
          <w:sz w:val="24"/>
          <w:szCs w:val="24"/>
          <w:lang w:val="en"/>
        </w:rPr>
        <w:t xml:space="preserve"> </w:t>
      </w:r>
      <w:r w:rsidR="00B52DD9">
        <w:rPr>
          <w:rFonts w:ascii="Times New Roman" w:eastAsia="Times New Roman" w:hAnsi="Times New Roman" w:cs="Times New Roman"/>
          <w:sz w:val="24"/>
          <w:szCs w:val="24"/>
          <w:lang w:val="en"/>
        </w:rPr>
        <w:t xml:space="preserve">It is apparent that further studies must be conducted to accurately assess the demand, cost, and return on investment of establishing an emergency fund; however, initial findings show </w:t>
      </w:r>
      <w:r w:rsidR="008F7732">
        <w:rPr>
          <w:rFonts w:ascii="Times New Roman" w:eastAsia="Times New Roman" w:hAnsi="Times New Roman" w:cs="Times New Roman"/>
          <w:sz w:val="24"/>
          <w:szCs w:val="24"/>
          <w:lang w:val="en"/>
        </w:rPr>
        <w:t>that by</w:t>
      </w:r>
      <w:r w:rsidR="00EB012E">
        <w:rPr>
          <w:rFonts w:ascii="Times New Roman" w:eastAsia="Times New Roman" w:hAnsi="Times New Roman" w:cs="Times New Roman"/>
          <w:sz w:val="24"/>
          <w:szCs w:val="24"/>
          <w:lang w:val="en"/>
        </w:rPr>
        <w:t xml:space="preserve"> establishing </w:t>
      </w:r>
      <w:r w:rsidR="00B52DD9">
        <w:rPr>
          <w:rFonts w:ascii="Times New Roman" w:eastAsia="Times New Roman" w:hAnsi="Times New Roman" w:cs="Times New Roman"/>
          <w:sz w:val="24"/>
          <w:szCs w:val="24"/>
          <w:lang w:val="en"/>
        </w:rPr>
        <w:t>such</w:t>
      </w:r>
      <w:r w:rsidR="00EB012E">
        <w:rPr>
          <w:rFonts w:ascii="Times New Roman" w:eastAsia="Times New Roman" w:hAnsi="Times New Roman" w:cs="Times New Roman"/>
          <w:sz w:val="24"/>
          <w:szCs w:val="24"/>
          <w:lang w:val="en"/>
        </w:rPr>
        <w:t xml:space="preserve"> </w:t>
      </w:r>
      <w:r w:rsidR="00B52DD9">
        <w:rPr>
          <w:rFonts w:ascii="Times New Roman" w:eastAsia="Times New Roman" w:hAnsi="Times New Roman" w:cs="Times New Roman"/>
          <w:sz w:val="24"/>
          <w:szCs w:val="24"/>
          <w:lang w:val="en"/>
        </w:rPr>
        <w:t>a</w:t>
      </w:r>
      <w:r w:rsidR="00EB012E">
        <w:rPr>
          <w:rFonts w:ascii="Times New Roman" w:eastAsia="Times New Roman" w:hAnsi="Times New Roman" w:cs="Times New Roman"/>
          <w:sz w:val="24"/>
          <w:szCs w:val="24"/>
          <w:lang w:val="en"/>
        </w:rPr>
        <w:t xml:space="preserve"> fund at Wake Technical Community College, the college could potentially eradicate one great cause of attrition. </w:t>
      </w:r>
    </w:p>
    <w:p w:rsidR="004E60FC" w:rsidRDefault="004E60FC" w:rsidP="006F1FE9">
      <w:pPr>
        <w:spacing w:after="0" w:line="480" w:lineRule="auto"/>
        <w:ind w:firstLine="720"/>
        <w:rPr>
          <w:rFonts w:ascii="Times New Roman" w:eastAsia="Times New Roman" w:hAnsi="Times New Roman" w:cs="Times New Roman"/>
          <w:sz w:val="24"/>
          <w:szCs w:val="24"/>
          <w:lang w:val="en"/>
        </w:rPr>
      </w:pPr>
    </w:p>
    <w:p w:rsidR="001A4933" w:rsidRDefault="001A4933" w:rsidP="006F1FE9">
      <w:pPr>
        <w:spacing w:after="0" w:line="480" w:lineRule="auto"/>
        <w:ind w:firstLine="720"/>
        <w:rPr>
          <w:rFonts w:ascii="Times New Roman" w:eastAsia="Times New Roman" w:hAnsi="Times New Roman" w:cs="Times New Roman"/>
          <w:sz w:val="24"/>
          <w:szCs w:val="24"/>
          <w:lang w:val="en"/>
        </w:rPr>
      </w:pPr>
    </w:p>
    <w:p w:rsidR="001A4933" w:rsidRDefault="001A4933" w:rsidP="006F1FE9">
      <w:pPr>
        <w:spacing w:after="0" w:line="480" w:lineRule="auto"/>
        <w:ind w:firstLine="720"/>
        <w:rPr>
          <w:rFonts w:ascii="Times New Roman" w:eastAsia="Times New Roman" w:hAnsi="Times New Roman" w:cs="Times New Roman"/>
          <w:sz w:val="24"/>
          <w:szCs w:val="24"/>
          <w:lang w:val="en"/>
        </w:rPr>
      </w:pPr>
    </w:p>
    <w:p w:rsidR="001A4933" w:rsidRDefault="001A4933" w:rsidP="006F1FE9">
      <w:pPr>
        <w:spacing w:after="0" w:line="480" w:lineRule="auto"/>
        <w:ind w:firstLine="720"/>
        <w:rPr>
          <w:rFonts w:ascii="Times New Roman" w:eastAsia="Times New Roman" w:hAnsi="Times New Roman" w:cs="Times New Roman"/>
          <w:sz w:val="24"/>
          <w:szCs w:val="24"/>
          <w:lang w:val="en"/>
        </w:rPr>
      </w:pPr>
    </w:p>
    <w:p w:rsidR="001A4933" w:rsidRDefault="001A4933" w:rsidP="006F1FE9">
      <w:pPr>
        <w:spacing w:after="0" w:line="480" w:lineRule="auto"/>
        <w:ind w:firstLine="720"/>
        <w:rPr>
          <w:rFonts w:ascii="Times New Roman" w:eastAsia="Times New Roman" w:hAnsi="Times New Roman" w:cs="Times New Roman"/>
          <w:sz w:val="24"/>
          <w:szCs w:val="24"/>
          <w:lang w:val="en"/>
        </w:rPr>
      </w:pPr>
    </w:p>
    <w:p w:rsidR="001A4933" w:rsidRDefault="001A4933" w:rsidP="006F1FE9">
      <w:pPr>
        <w:spacing w:after="0" w:line="480" w:lineRule="auto"/>
        <w:ind w:firstLine="720"/>
        <w:rPr>
          <w:rFonts w:ascii="Times New Roman" w:eastAsia="Times New Roman" w:hAnsi="Times New Roman" w:cs="Times New Roman"/>
          <w:sz w:val="24"/>
          <w:szCs w:val="24"/>
          <w:lang w:val="en"/>
        </w:rPr>
      </w:pPr>
    </w:p>
    <w:p w:rsidR="001A4933" w:rsidRDefault="001A4933" w:rsidP="006F1FE9">
      <w:pPr>
        <w:spacing w:after="0" w:line="480" w:lineRule="auto"/>
        <w:ind w:firstLine="720"/>
        <w:rPr>
          <w:rFonts w:ascii="Times New Roman" w:eastAsia="Times New Roman" w:hAnsi="Times New Roman" w:cs="Times New Roman"/>
          <w:sz w:val="24"/>
          <w:szCs w:val="24"/>
          <w:lang w:val="en"/>
        </w:rPr>
      </w:pPr>
    </w:p>
    <w:p w:rsidR="001A4933" w:rsidRPr="006F1FE9" w:rsidRDefault="001A4933" w:rsidP="006F1FE9">
      <w:pPr>
        <w:spacing w:after="0" w:line="480" w:lineRule="auto"/>
        <w:ind w:firstLine="720"/>
        <w:rPr>
          <w:rFonts w:ascii="Times New Roman" w:eastAsia="Times New Roman" w:hAnsi="Times New Roman" w:cs="Times New Roman"/>
          <w:sz w:val="24"/>
          <w:szCs w:val="24"/>
          <w:lang w:val="en"/>
        </w:rPr>
      </w:pPr>
    </w:p>
    <w:p w:rsidR="001A4933" w:rsidRDefault="001A4933" w:rsidP="001A49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1A4933" w:rsidRDefault="001A4933" w:rsidP="001A4933">
      <w:pPr>
        <w:spacing w:after="0" w:line="240" w:lineRule="auto"/>
        <w:jc w:val="center"/>
        <w:rPr>
          <w:rFonts w:ascii="Times New Roman" w:hAnsi="Times New Roman" w:cs="Times New Roman"/>
          <w:sz w:val="24"/>
          <w:szCs w:val="24"/>
        </w:rPr>
      </w:pPr>
    </w:p>
    <w:p w:rsidR="00290B88" w:rsidRDefault="00290B88" w:rsidP="00290B88">
      <w:pPr>
        <w:spacing w:after="0" w:line="240" w:lineRule="auto"/>
        <w:rPr>
          <w:rFonts w:ascii="Times New Roman" w:hAnsi="Times New Roman" w:cs="Times New Roman"/>
          <w:sz w:val="24"/>
          <w:szCs w:val="24"/>
        </w:rPr>
      </w:pPr>
      <w:r w:rsidRPr="000F2595">
        <w:rPr>
          <w:rFonts w:ascii="Times New Roman" w:hAnsi="Times New Roman" w:cs="Times New Roman"/>
          <w:sz w:val="24"/>
          <w:szCs w:val="24"/>
        </w:rPr>
        <w:t xml:space="preserve">Barth, R.  (2001). </w:t>
      </w:r>
      <w:r w:rsidRPr="000F2595">
        <w:rPr>
          <w:rFonts w:ascii="Times New Roman" w:hAnsi="Times New Roman" w:cs="Times New Roman"/>
          <w:i/>
          <w:sz w:val="24"/>
          <w:szCs w:val="24"/>
        </w:rPr>
        <w:t>Learning by heart</w:t>
      </w:r>
      <w:r w:rsidRPr="000F2595">
        <w:rPr>
          <w:rFonts w:ascii="Times New Roman" w:hAnsi="Times New Roman" w:cs="Times New Roman"/>
          <w:sz w:val="24"/>
          <w:szCs w:val="24"/>
        </w:rPr>
        <w:t xml:space="preserve">.  </w:t>
      </w:r>
      <w:r>
        <w:rPr>
          <w:rFonts w:ascii="Times New Roman" w:hAnsi="Times New Roman" w:cs="Times New Roman"/>
          <w:sz w:val="24"/>
          <w:szCs w:val="24"/>
        </w:rPr>
        <w:t>San Francisco</w:t>
      </w:r>
      <w:r w:rsidRPr="000F2595">
        <w:rPr>
          <w:rFonts w:ascii="Times New Roman" w:hAnsi="Times New Roman" w:cs="Times New Roman"/>
          <w:sz w:val="24"/>
          <w:szCs w:val="24"/>
        </w:rPr>
        <w:t xml:space="preserve">: </w:t>
      </w:r>
      <w:proofErr w:type="spellStart"/>
      <w:r w:rsidRPr="000F2595">
        <w:rPr>
          <w:rFonts w:ascii="Times New Roman" w:hAnsi="Times New Roman" w:cs="Times New Roman"/>
          <w:sz w:val="24"/>
          <w:szCs w:val="24"/>
        </w:rPr>
        <w:t>Jossey</w:t>
      </w:r>
      <w:proofErr w:type="spellEnd"/>
      <w:r w:rsidRPr="000F2595">
        <w:rPr>
          <w:rFonts w:ascii="Times New Roman" w:hAnsi="Times New Roman" w:cs="Times New Roman"/>
          <w:sz w:val="24"/>
          <w:szCs w:val="24"/>
        </w:rPr>
        <w:t xml:space="preserve">-Bass. </w:t>
      </w:r>
    </w:p>
    <w:p w:rsidR="00290B88" w:rsidRDefault="00290B88" w:rsidP="00290B88">
      <w:pPr>
        <w:spacing w:after="0" w:line="240" w:lineRule="auto"/>
        <w:rPr>
          <w:rFonts w:ascii="Times New Roman" w:hAnsi="Times New Roman" w:cs="Times New Roman"/>
          <w:sz w:val="24"/>
          <w:szCs w:val="24"/>
        </w:rPr>
      </w:pPr>
    </w:p>
    <w:p w:rsidR="00290B88" w:rsidRPr="000F2595" w:rsidRDefault="00290B88" w:rsidP="00290B88">
      <w:pPr>
        <w:spacing w:after="0" w:line="240" w:lineRule="auto"/>
        <w:rPr>
          <w:rFonts w:ascii="Times New Roman" w:hAnsi="Times New Roman" w:cs="Times New Roman"/>
          <w:sz w:val="24"/>
          <w:szCs w:val="24"/>
        </w:rPr>
      </w:pPr>
      <w:r>
        <w:rPr>
          <w:rFonts w:ascii="Times New Roman" w:hAnsi="Times New Roman" w:cs="Times New Roman"/>
          <w:sz w:val="24"/>
          <w:szCs w:val="24"/>
        </w:rPr>
        <w:t>Barth is a cheerleader for both novice and experienced teachers to be the best that they can be as leaders in their institutions. His text is full of practical ideas that are easy to implement. A large part of his text is devoted to formal leaders and how they should shape and support teacher leadership within their institutions.</w:t>
      </w:r>
      <w:r w:rsidRPr="000F2595">
        <w:rPr>
          <w:rFonts w:ascii="Times New Roman" w:hAnsi="Times New Roman" w:cs="Times New Roman"/>
          <w:sz w:val="24"/>
          <w:szCs w:val="24"/>
        </w:rPr>
        <w:t xml:space="preserve"> </w:t>
      </w:r>
    </w:p>
    <w:p w:rsidR="00290B88" w:rsidRPr="000F2595" w:rsidRDefault="00290B88" w:rsidP="00290B88">
      <w:pPr>
        <w:pStyle w:val="body-paragraph"/>
        <w:spacing w:before="0" w:beforeAutospacing="0" w:after="0" w:afterAutospacing="0"/>
      </w:pPr>
    </w:p>
    <w:p w:rsidR="00290B88" w:rsidRPr="000F2595" w:rsidRDefault="00290B88" w:rsidP="00290B88">
      <w:pPr>
        <w:pStyle w:val="body-paragraph"/>
        <w:spacing w:before="0" w:beforeAutospacing="0" w:after="0" w:afterAutospacing="0"/>
      </w:pPr>
      <w:proofErr w:type="gramStart"/>
      <w:r w:rsidRPr="000F2595">
        <w:t xml:space="preserve">Burley, H., </w:t>
      </w:r>
      <w:proofErr w:type="spellStart"/>
      <w:r w:rsidRPr="000F2595">
        <w:t>Butner</w:t>
      </w:r>
      <w:proofErr w:type="spellEnd"/>
      <w:r w:rsidRPr="000F2595">
        <w:t xml:space="preserve">, B., &amp; </w:t>
      </w:r>
      <w:proofErr w:type="spellStart"/>
      <w:r w:rsidRPr="000F2595">
        <w:t>Cejda</w:t>
      </w:r>
      <w:proofErr w:type="spellEnd"/>
      <w:r w:rsidRPr="000F2595">
        <w:t>, B. (2001).</w:t>
      </w:r>
      <w:proofErr w:type="gramEnd"/>
      <w:r w:rsidRPr="000F2595">
        <w:t xml:space="preserve"> Dropout and </w:t>
      </w:r>
      <w:proofErr w:type="spellStart"/>
      <w:r w:rsidRPr="000F2595">
        <w:t>stopout</w:t>
      </w:r>
      <w:proofErr w:type="spellEnd"/>
      <w:r w:rsidRPr="000F2595">
        <w:t xml:space="preserve"> patterns among developmental</w:t>
      </w:r>
    </w:p>
    <w:p w:rsidR="00290B88" w:rsidRDefault="00290B88" w:rsidP="00290B88">
      <w:pPr>
        <w:pStyle w:val="body-paragraph"/>
        <w:spacing w:before="0" w:beforeAutospacing="0" w:after="0" w:afterAutospacing="0"/>
        <w:ind w:left="720" w:firstLine="60"/>
      </w:pPr>
      <w:proofErr w:type="gramStart"/>
      <w:r w:rsidRPr="000F2595">
        <w:t>education</w:t>
      </w:r>
      <w:proofErr w:type="gramEnd"/>
      <w:r w:rsidRPr="000F2595">
        <w:t xml:space="preserve"> students in Texas community colleges. </w:t>
      </w:r>
      <w:r w:rsidRPr="000F2595">
        <w:rPr>
          <w:i/>
          <w:iCs/>
        </w:rPr>
        <w:t>Community College Journal of Research &amp; Practice</w:t>
      </w:r>
      <w:r w:rsidRPr="000F2595">
        <w:t xml:space="preserve">, </w:t>
      </w:r>
      <w:r w:rsidRPr="000F2595">
        <w:rPr>
          <w:i/>
          <w:iCs/>
        </w:rPr>
        <w:t>25</w:t>
      </w:r>
      <w:r w:rsidRPr="000F2595">
        <w:t xml:space="preserve">(10), 767-782. </w:t>
      </w:r>
      <w:proofErr w:type="gramStart"/>
      <w:r w:rsidRPr="000F2595">
        <w:t>doi:</w:t>
      </w:r>
      <w:proofErr w:type="gramEnd"/>
      <w:r w:rsidRPr="000F2595">
        <w:t>10.1080/106689201753235903</w:t>
      </w:r>
    </w:p>
    <w:p w:rsidR="00290B88" w:rsidRDefault="00290B88" w:rsidP="00290B88">
      <w:pPr>
        <w:pStyle w:val="body-paragraph"/>
        <w:spacing w:before="0" w:beforeAutospacing="0" w:after="0" w:afterAutospacing="0"/>
      </w:pPr>
    </w:p>
    <w:p w:rsidR="00290B88" w:rsidRPr="000F2595" w:rsidRDefault="00290B88" w:rsidP="00290B88">
      <w:pPr>
        <w:pStyle w:val="body-paragraph"/>
        <w:spacing w:before="0" w:beforeAutospacing="0" w:after="0" w:afterAutospacing="0"/>
      </w:pPr>
      <w:r>
        <w:t xml:space="preserve">Burley, </w:t>
      </w:r>
      <w:proofErr w:type="spellStart"/>
      <w:r>
        <w:t>Butner</w:t>
      </w:r>
      <w:proofErr w:type="spellEnd"/>
      <w:r>
        <w:t xml:space="preserve">, and </w:t>
      </w:r>
      <w:proofErr w:type="spellStart"/>
      <w:r>
        <w:t>Cejda</w:t>
      </w:r>
      <w:proofErr w:type="spellEnd"/>
      <w:r>
        <w:t xml:space="preserve"> examine the drop out and </w:t>
      </w:r>
      <w:proofErr w:type="spellStart"/>
      <w:r>
        <w:t>stopout</w:t>
      </w:r>
      <w:proofErr w:type="spellEnd"/>
      <w:r>
        <w:t xml:space="preserve"> (students who leave community college for a period of time and return) habits of students attending community college. They have discovered that the students with the highest percentage of dropout rates are those who require remediation; however, they insinuate the rate could be even higher without remediation since the students in need are not ready to handle credit hour college courses. One important finding in their study is that the highest </w:t>
      </w:r>
      <w:proofErr w:type="gramStart"/>
      <w:r>
        <w:t>percentage of students requiring remediation are</w:t>
      </w:r>
      <w:proofErr w:type="gramEnd"/>
      <w:r>
        <w:t xml:space="preserve"> minorities; their study specifically points to African American and Hispanic students.</w:t>
      </w:r>
    </w:p>
    <w:p w:rsidR="00290B88" w:rsidRDefault="00290B88" w:rsidP="00290B88">
      <w:pPr>
        <w:spacing w:after="0" w:line="240" w:lineRule="auto"/>
        <w:rPr>
          <w:rFonts w:ascii="Times New Roman" w:eastAsia="Times New Roman" w:hAnsi="Times New Roman" w:cs="Times New Roman"/>
          <w:sz w:val="24"/>
          <w:szCs w:val="24"/>
        </w:rPr>
      </w:pPr>
    </w:p>
    <w:p w:rsidR="00290B88" w:rsidRDefault="00290B88" w:rsidP="00290B88">
      <w:pPr>
        <w:spacing w:after="0" w:line="24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Delen</w:t>
      </w:r>
      <w:proofErr w:type="spellEnd"/>
      <w:r>
        <w:rPr>
          <w:rFonts w:ascii="Times New Roman" w:eastAsia="Times New Roman" w:hAnsi="Times New Roman" w:cs="Times New Roman"/>
          <w:sz w:val="24"/>
          <w:szCs w:val="24"/>
        </w:rPr>
        <w:t xml:space="preserve">, D. (2011).  </w:t>
      </w:r>
      <w:proofErr w:type="gramStart"/>
      <w:r>
        <w:rPr>
          <w:rFonts w:ascii="Times New Roman" w:eastAsia="Times New Roman" w:hAnsi="Times New Roman" w:cs="Times New Roman"/>
          <w:sz w:val="24"/>
          <w:szCs w:val="24"/>
        </w:rPr>
        <w:t>Predicting student attrition with data mining methods.</w:t>
      </w:r>
      <w:proofErr w:type="gramEnd"/>
      <w:r>
        <w:rPr>
          <w:rFonts w:ascii="Times New Roman" w:eastAsia="Times New Roman" w:hAnsi="Times New Roman" w:cs="Times New Roman"/>
          <w:sz w:val="24"/>
          <w:szCs w:val="24"/>
        </w:rPr>
        <w:t xml:space="preserve"> </w:t>
      </w:r>
      <w:r w:rsidRPr="00D23E4B">
        <w:rPr>
          <w:rFonts w:ascii="Times New Roman" w:eastAsia="Times New Roman" w:hAnsi="Times New Roman" w:cs="Times New Roman"/>
          <w:i/>
          <w:sz w:val="24"/>
          <w:szCs w:val="24"/>
        </w:rPr>
        <w:t>Journal of</w:t>
      </w:r>
      <w:r>
        <w:rPr>
          <w:rFonts w:ascii="Times New Roman" w:eastAsia="Times New Roman" w:hAnsi="Times New Roman" w:cs="Times New Roman"/>
          <w:sz w:val="24"/>
          <w:szCs w:val="24"/>
        </w:rPr>
        <w:t xml:space="preserve"> </w:t>
      </w:r>
      <w:r w:rsidRPr="00924FD5">
        <w:rPr>
          <w:rFonts w:ascii="Times New Roman" w:eastAsia="Times New Roman" w:hAnsi="Times New Roman" w:cs="Times New Roman"/>
          <w:i/>
          <w:sz w:val="24"/>
          <w:szCs w:val="24"/>
        </w:rPr>
        <w:t>College</w:t>
      </w:r>
    </w:p>
    <w:p w:rsidR="00290B88" w:rsidRPr="00D23E4B" w:rsidRDefault="00290B88" w:rsidP="00290B88">
      <w:pPr>
        <w:spacing w:after="0" w:line="240" w:lineRule="auto"/>
        <w:ind w:firstLine="720"/>
        <w:rPr>
          <w:rFonts w:ascii="Times New Roman" w:eastAsia="Times New Roman" w:hAnsi="Times New Roman" w:cs="Times New Roman"/>
          <w:i/>
          <w:sz w:val="24"/>
          <w:szCs w:val="24"/>
        </w:rPr>
      </w:pPr>
      <w:r w:rsidRPr="00924FD5">
        <w:rPr>
          <w:rFonts w:ascii="Times New Roman" w:eastAsia="Times New Roman" w:hAnsi="Times New Roman" w:cs="Times New Roman"/>
          <w:i/>
          <w:sz w:val="24"/>
          <w:szCs w:val="24"/>
        </w:rPr>
        <w:t xml:space="preserve"> Student Retention, (3)</w:t>
      </w:r>
      <w:r>
        <w:rPr>
          <w:rFonts w:ascii="Times New Roman" w:eastAsia="Times New Roman" w:hAnsi="Times New Roman" w:cs="Times New Roman"/>
          <w:sz w:val="24"/>
          <w:szCs w:val="24"/>
        </w:rPr>
        <w:t xml:space="preserve">1, 17-35. </w:t>
      </w:r>
      <w:proofErr w:type="spellStart"/>
      <w:proofErr w:type="gramStart"/>
      <w:r>
        <w:rPr>
          <w:rFonts w:ascii="Times New Roman" w:eastAsia="Times New Roman" w:hAnsi="Times New Roman" w:cs="Times New Roman"/>
          <w:sz w:val="24"/>
          <w:szCs w:val="24"/>
        </w:rPr>
        <w:t>doi</w:t>
      </w:r>
      <w:proofErr w:type="spellEnd"/>
      <w:proofErr w:type="gramEnd"/>
      <w:r>
        <w:rPr>
          <w:rFonts w:ascii="Times New Roman" w:eastAsia="Times New Roman" w:hAnsi="Times New Roman" w:cs="Times New Roman"/>
          <w:sz w:val="24"/>
          <w:szCs w:val="24"/>
        </w:rPr>
        <w:t>: 10.2190/CS.13.1.b</w:t>
      </w:r>
    </w:p>
    <w:p w:rsidR="00290B88" w:rsidRDefault="00290B88" w:rsidP="00290B88">
      <w:pPr>
        <w:spacing w:after="0" w:line="240" w:lineRule="auto"/>
        <w:rPr>
          <w:rFonts w:ascii="Times New Roman" w:eastAsia="Times New Roman" w:hAnsi="Times New Roman" w:cs="Times New Roman"/>
          <w:sz w:val="24"/>
          <w:szCs w:val="24"/>
        </w:rPr>
      </w:pPr>
    </w:p>
    <w:p w:rsidR="00290B88" w:rsidRPr="00A16E09" w:rsidRDefault="00290B88" w:rsidP="00290B88">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Delen</w:t>
      </w:r>
      <w:proofErr w:type="spellEnd"/>
      <w:r>
        <w:rPr>
          <w:rFonts w:ascii="Times New Roman" w:eastAsia="Times New Roman" w:hAnsi="Times New Roman" w:cs="Times New Roman"/>
          <w:sz w:val="24"/>
          <w:szCs w:val="24"/>
        </w:rPr>
        <w:t xml:space="preserve"> uses </w:t>
      </w:r>
      <w:r w:rsidRPr="00A16E09">
        <w:rPr>
          <w:rFonts w:ascii="Times New Roman" w:eastAsia="Times New Roman" w:hAnsi="Times New Roman" w:cs="Times New Roman"/>
          <w:sz w:val="24"/>
          <w:szCs w:val="24"/>
        </w:rPr>
        <w:t xml:space="preserve">three </w:t>
      </w:r>
      <w:r>
        <w:rPr>
          <w:rFonts w:ascii="Times New Roman" w:eastAsia="Times New Roman" w:hAnsi="Times New Roman" w:cs="Times New Roman"/>
          <w:sz w:val="24"/>
          <w:szCs w:val="24"/>
        </w:rPr>
        <w:t>analytical models</w:t>
      </w:r>
      <w:r w:rsidRPr="00A16E09">
        <w:rPr>
          <w:rFonts w:ascii="Times New Roman" w:eastAsia="Times New Roman" w:hAnsi="Times New Roman" w:cs="Times New Roman"/>
          <w:sz w:val="24"/>
          <w:szCs w:val="24"/>
        </w:rPr>
        <w:t xml:space="preserve"> (artificial neural networks, decision trees,</w:t>
      </w:r>
    </w:p>
    <w:p w:rsidR="00290B88" w:rsidRDefault="00290B88" w:rsidP="00290B88">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logistic regression) to determine which students are at risk for dropping out of college. Though </w:t>
      </w:r>
      <w:proofErr w:type="spellStart"/>
      <w:r>
        <w:rPr>
          <w:rFonts w:ascii="Times New Roman" w:eastAsia="Times New Roman" w:hAnsi="Times New Roman" w:cs="Times New Roman"/>
          <w:sz w:val="24"/>
          <w:szCs w:val="24"/>
        </w:rPr>
        <w:t>Delen</w:t>
      </w:r>
      <w:proofErr w:type="spellEnd"/>
      <w:r>
        <w:rPr>
          <w:rFonts w:ascii="Times New Roman" w:eastAsia="Times New Roman" w:hAnsi="Times New Roman" w:cs="Times New Roman"/>
          <w:sz w:val="24"/>
          <w:szCs w:val="24"/>
        </w:rPr>
        <w:t xml:space="preserve"> asserts an 80% success rate of predicting student dropout rate through data mining methods, the key finding </w:t>
      </w:r>
      <w:proofErr w:type="spellStart"/>
      <w:r>
        <w:rPr>
          <w:rFonts w:ascii="Times New Roman" w:eastAsia="Times New Roman" w:hAnsi="Times New Roman" w:cs="Times New Roman"/>
          <w:sz w:val="24"/>
          <w:szCs w:val="24"/>
        </w:rPr>
        <w:t>Delen</w:t>
      </w:r>
      <w:proofErr w:type="spellEnd"/>
      <w:r>
        <w:rPr>
          <w:rFonts w:ascii="Times New Roman" w:eastAsia="Times New Roman" w:hAnsi="Times New Roman" w:cs="Times New Roman"/>
          <w:sz w:val="24"/>
          <w:szCs w:val="24"/>
        </w:rPr>
        <w:t xml:space="preserve"> articulates is that students need to be identified as </w:t>
      </w:r>
      <w:proofErr w:type="gramStart"/>
      <w:r>
        <w:rPr>
          <w:rFonts w:ascii="Times New Roman" w:eastAsia="Times New Roman" w:hAnsi="Times New Roman" w:cs="Times New Roman"/>
          <w:sz w:val="24"/>
          <w:szCs w:val="24"/>
        </w:rPr>
        <w:t>at-risk,</w:t>
      </w:r>
      <w:proofErr w:type="gramEnd"/>
      <w:r>
        <w:rPr>
          <w:rFonts w:ascii="Times New Roman" w:eastAsia="Times New Roman" w:hAnsi="Times New Roman" w:cs="Times New Roman"/>
          <w:sz w:val="24"/>
          <w:szCs w:val="24"/>
        </w:rPr>
        <w:t xml:space="preserve"> and appropriate intervention methods must be put into place to aid these students in completing a terminal degree. </w:t>
      </w:r>
    </w:p>
    <w:p w:rsidR="00290B88" w:rsidRDefault="00290B88" w:rsidP="00290B88">
      <w:pPr>
        <w:spacing w:after="0" w:line="240" w:lineRule="auto"/>
        <w:rPr>
          <w:rFonts w:ascii="Times New Roman" w:eastAsia="Times New Roman" w:hAnsi="Times New Roman" w:cs="Times New Roman"/>
          <w:sz w:val="24"/>
          <w:szCs w:val="24"/>
        </w:rPr>
      </w:pPr>
    </w:p>
    <w:p w:rsidR="00290B88" w:rsidRDefault="00290B88" w:rsidP="00290B88">
      <w:pPr>
        <w:spacing w:after="0" w:line="240" w:lineRule="auto"/>
        <w:rPr>
          <w:rFonts w:ascii="Times New Roman" w:eastAsia="Times New Roman" w:hAnsi="Times New Roman" w:cs="Times New Roman"/>
          <w:sz w:val="24"/>
          <w:szCs w:val="24"/>
        </w:rPr>
      </w:pPr>
      <w:proofErr w:type="gramStart"/>
      <w:r w:rsidRPr="00422FEF">
        <w:rPr>
          <w:rFonts w:ascii="Times New Roman" w:eastAsia="Times New Roman" w:hAnsi="Times New Roman" w:cs="Times New Roman"/>
          <w:sz w:val="24"/>
          <w:szCs w:val="24"/>
        </w:rPr>
        <w:t xml:space="preserve">Dove, M. G., &amp; </w:t>
      </w:r>
      <w:proofErr w:type="spellStart"/>
      <w:r w:rsidRPr="00422FEF">
        <w:rPr>
          <w:rFonts w:ascii="Times New Roman" w:eastAsia="Times New Roman" w:hAnsi="Times New Roman" w:cs="Times New Roman"/>
          <w:sz w:val="24"/>
          <w:szCs w:val="24"/>
        </w:rPr>
        <w:t>Freeley</w:t>
      </w:r>
      <w:proofErr w:type="spellEnd"/>
      <w:r w:rsidRPr="00422FEF">
        <w:rPr>
          <w:rFonts w:ascii="Times New Roman" w:eastAsia="Times New Roman" w:hAnsi="Times New Roman" w:cs="Times New Roman"/>
          <w:sz w:val="24"/>
          <w:szCs w:val="24"/>
        </w:rPr>
        <w:t>, M. (2011).</w:t>
      </w:r>
      <w:proofErr w:type="gramEnd"/>
      <w:r w:rsidRPr="00422FEF">
        <w:rPr>
          <w:rFonts w:ascii="Times New Roman" w:eastAsia="Times New Roman" w:hAnsi="Times New Roman" w:cs="Times New Roman"/>
          <w:sz w:val="24"/>
          <w:szCs w:val="24"/>
        </w:rPr>
        <w:t xml:space="preserve"> The </w:t>
      </w:r>
      <w:r w:rsidRPr="000F2595">
        <w:rPr>
          <w:rFonts w:ascii="Times New Roman" w:eastAsia="Times New Roman" w:hAnsi="Times New Roman" w:cs="Times New Roman"/>
          <w:sz w:val="24"/>
          <w:szCs w:val="24"/>
        </w:rPr>
        <w:t>effects of l</w:t>
      </w:r>
      <w:r w:rsidRPr="00422FEF">
        <w:rPr>
          <w:rFonts w:ascii="Times New Roman" w:eastAsia="Times New Roman" w:hAnsi="Times New Roman" w:cs="Times New Roman"/>
          <w:sz w:val="24"/>
          <w:szCs w:val="24"/>
        </w:rPr>
        <w:t xml:space="preserve">eadership on </w:t>
      </w:r>
      <w:r w:rsidRPr="000F2595">
        <w:rPr>
          <w:rFonts w:ascii="Times New Roman" w:eastAsia="Times New Roman" w:hAnsi="Times New Roman" w:cs="Times New Roman"/>
          <w:sz w:val="24"/>
          <w:szCs w:val="24"/>
        </w:rPr>
        <w:t>i</w:t>
      </w:r>
      <w:r w:rsidRPr="00422FEF">
        <w:rPr>
          <w:rFonts w:ascii="Times New Roman" w:eastAsia="Times New Roman" w:hAnsi="Times New Roman" w:cs="Times New Roman"/>
          <w:sz w:val="24"/>
          <w:szCs w:val="24"/>
        </w:rPr>
        <w:t xml:space="preserve">nnovative </w:t>
      </w:r>
      <w:r w:rsidRPr="000F2595">
        <w:rPr>
          <w:rFonts w:ascii="Times New Roman" w:eastAsia="Times New Roman" w:hAnsi="Times New Roman" w:cs="Times New Roman"/>
          <w:sz w:val="24"/>
          <w:szCs w:val="24"/>
        </w:rPr>
        <w:t>p</w:t>
      </w:r>
      <w:r w:rsidRPr="00422FEF">
        <w:rPr>
          <w:rFonts w:ascii="Times New Roman" w:eastAsia="Times New Roman" w:hAnsi="Times New Roman" w:cs="Times New Roman"/>
          <w:sz w:val="24"/>
          <w:szCs w:val="24"/>
        </w:rPr>
        <w:t>rogram</w:t>
      </w:r>
    </w:p>
    <w:p w:rsidR="00290B88" w:rsidRDefault="00290B88" w:rsidP="00290B88">
      <w:pPr>
        <w:spacing w:after="0" w:line="240" w:lineRule="auto"/>
        <w:ind w:firstLine="720"/>
        <w:rPr>
          <w:rFonts w:ascii="Times New Roman" w:eastAsia="Times New Roman" w:hAnsi="Times New Roman" w:cs="Times New Roman"/>
          <w:sz w:val="24"/>
          <w:szCs w:val="24"/>
        </w:rPr>
      </w:pPr>
      <w:r w:rsidRPr="00422FEF">
        <w:rPr>
          <w:rFonts w:ascii="Times New Roman" w:eastAsia="Times New Roman" w:hAnsi="Times New Roman" w:cs="Times New Roman"/>
          <w:sz w:val="24"/>
          <w:szCs w:val="24"/>
        </w:rPr>
        <w:t xml:space="preserve"> </w:t>
      </w:r>
      <w:proofErr w:type="gramStart"/>
      <w:r w:rsidRPr="000F2595">
        <w:rPr>
          <w:rFonts w:ascii="Times New Roman" w:eastAsia="Times New Roman" w:hAnsi="Times New Roman" w:cs="Times New Roman"/>
          <w:sz w:val="24"/>
          <w:szCs w:val="24"/>
        </w:rPr>
        <w:t>i</w:t>
      </w:r>
      <w:r w:rsidRPr="00422FEF">
        <w:rPr>
          <w:rFonts w:ascii="Times New Roman" w:eastAsia="Times New Roman" w:hAnsi="Times New Roman" w:cs="Times New Roman"/>
          <w:sz w:val="24"/>
          <w:szCs w:val="24"/>
        </w:rPr>
        <w:t>mplementation</w:t>
      </w:r>
      <w:proofErr w:type="gramEnd"/>
      <w:r w:rsidRPr="00422FEF">
        <w:rPr>
          <w:rFonts w:ascii="Times New Roman" w:eastAsia="Times New Roman" w:hAnsi="Times New Roman" w:cs="Times New Roman"/>
          <w:sz w:val="24"/>
          <w:szCs w:val="24"/>
        </w:rPr>
        <w:t xml:space="preserve">. </w:t>
      </w:r>
      <w:r w:rsidRPr="00422FEF">
        <w:rPr>
          <w:rFonts w:ascii="Times New Roman" w:eastAsia="Times New Roman" w:hAnsi="Times New Roman" w:cs="Times New Roman"/>
          <w:i/>
          <w:iCs/>
          <w:sz w:val="24"/>
          <w:szCs w:val="24"/>
        </w:rPr>
        <w:t>Delta Kappa Gamma Bulletin</w:t>
      </w:r>
      <w:r w:rsidRPr="00422FEF">
        <w:rPr>
          <w:rFonts w:ascii="Times New Roman" w:eastAsia="Times New Roman" w:hAnsi="Times New Roman" w:cs="Times New Roman"/>
          <w:sz w:val="24"/>
          <w:szCs w:val="24"/>
        </w:rPr>
        <w:t xml:space="preserve">, </w:t>
      </w:r>
      <w:r w:rsidRPr="00422FEF">
        <w:rPr>
          <w:rFonts w:ascii="Times New Roman" w:eastAsia="Times New Roman" w:hAnsi="Times New Roman" w:cs="Times New Roman"/>
          <w:i/>
          <w:iCs/>
          <w:sz w:val="24"/>
          <w:szCs w:val="24"/>
        </w:rPr>
        <w:t>77</w:t>
      </w:r>
      <w:r w:rsidRPr="00422FEF">
        <w:rPr>
          <w:rFonts w:ascii="Times New Roman" w:eastAsia="Times New Roman" w:hAnsi="Times New Roman" w:cs="Times New Roman"/>
          <w:sz w:val="24"/>
          <w:szCs w:val="24"/>
        </w:rPr>
        <w:t xml:space="preserve">(3), 25-32. </w:t>
      </w:r>
    </w:p>
    <w:p w:rsidR="00290B88" w:rsidRDefault="00290B88" w:rsidP="00290B88">
      <w:pPr>
        <w:spacing w:after="0" w:line="240" w:lineRule="auto"/>
        <w:ind w:firstLine="720"/>
        <w:rPr>
          <w:rFonts w:ascii="Times New Roman" w:eastAsia="Times New Roman" w:hAnsi="Times New Roman" w:cs="Times New Roman"/>
          <w:sz w:val="24"/>
          <w:szCs w:val="24"/>
        </w:rPr>
      </w:pPr>
    </w:p>
    <w:p w:rsidR="00290B88" w:rsidRPr="00422FEF" w:rsidRDefault="00290B88" w:rsidP="00290B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Researchers studied the integration of the Dunn and Dunn Learning Style Model into a middle school and discovered that effective implementation required numerous factors to work harmoniously together to smoothly introduce a change. Most notably, researchers defined different leadership styles and evaluated them for efficacy and determined that leadership style plays a significant role in successfully implementing educational reform. </w:t>
      </w:r>
    </w:p>
    <w:p w:rsidR="00290B88" w:rsidRPr="000F2595" w:rsidRDefault="00290B88" w:rsidP="00290B88">
      <w:pPr>
        <w:pStyle w:val="Heading1"/>
        <w:spacing w:before="0"/>
        <w:rPr>
          <w:b w:val="0"/>
          <w:sz w:val="24"/>
          <w:szCs w:val="24"/>
          <w:lang w:val="en"/>
        </w:rPr>
      </w:pPr>
    </w:p>
    <w:p w:rsidR="00290B88" w:rsidRPr="00290B88" w:rsidRDefault="00290B88" w:rsidP="00290B88">
      <w:pPr>
        <w:pStyle w:val="Heading1"/>
        <w:spacing w:before="0"/>
        <w:rPr>
          <w:b w:val="0"/>
          <w:i/>
          <w:iCs/>
          <w:color w:val="auto"/>
          <w:sz w:val="24"/>
          <w:szCs w:val="24"/>
          <w:lang w:val="en"/>
        </w:rPr>
      </w:pPr>
      <w:r w:rsidRPr="00290B88">
        <w:rPr>
          <w:b w:val="0"/>
          <w:color w:val="auto"/>
          <w:sz w:val="24"/>
          <w:szCs w:val="24"/>
          <w:lang w:val="en"/>
        </w:rPr>
        <w:t xml:space="preserve">Eaton, J.S.  </w:t>
      </w:r>
      <w:proofErr w:type="gramStart"/>
      <w:r w:rsidRPr="00290B88">
        <w:rPr>
          <w:b w:val="0"/>
          <w:color w:val="auto"/>
          <w:sz w:val="24"/>
          <w:szCs w:val="24"/>
          <w:lang w:val="en"/>
        </w:rPr>
        <w:t>(2007). The Cohen contribution to community college leadership.</w:t>
      </w:r>
      <w:proofErr w:type="gramEnd"/>
      <w:r w:rsidRPr="00290B88">
        <w:rPr>
          <w:color w:val="auto"/>
          <w:sz w:val="24"/>
          <w:szCs w:val="24"/>
          <w:lang w:val="en"/>
        </w:rPr>
        <w:t xml:space="preserve"> </w:t>
      </w:r>
      <w:r w:rsidRPr="00290B88">
        <w:rPr>
          <w:b w:val="0"/>
          <w:i/>
          <w:iCs/>
          <w:color w:val="auto"/>
          <w:sz w:val="24"/>
          <w:szCs w:val="24"/>
          <w:lang w:val="en"/>
        </w:rPr>
        <w:t>Community</w:t>
      </w:r>
    </w:p>
    <w:p w:rsidR="00290B88" w:rsidRPr="00290B88" w:rsidRDefault="00290B88" w:rsidP="00290B88">
      <w:pPr>
        <w:pStyle w:val="Heading1"/>
        <w:spacing w:before="0"/>
        <w:ind w:firstLine="720"/>
        <w:rPr>
          <w:b w:val="0"/>
          <w:color w:val="auto"/>
          <w:sz w:val="24"/>
          <w:szCs w:val="24"/>
          <w:lang w:val="en"/>
        </w:rPr>
      </w:pPr>
      <w:r w:rsidRPr="00290B88">
        <w:rPr>
          <w:b w:val="0"/>
          <w:i/>
          <w:iCs/>
          <w:color w:val="auto"/>
          <w:sz w:val="24"/>
          <w:szCs w:val="24"/>
          <w:lang w:val="en"/>
        </w:rPr>
        <w:t xml:space="preserve"> College Review, 34</w:t>
      </w:r>
      <w:r w:rsidRPr="00290B88">
        <w:rPr>
          <w:b w:val="0"/>
          <w:iCs/>
          <w:color w:val="auto"/>
          <w:sz w:val="24"/>
          <w:szCs w:val="24"/>
          <w:lang w:val="en"/>
        </w:rPr>
        <w:t>(3), 202-214.</w:t>
      </w:r>
      <w:r w:rsidRPr="00290B88">
        <w:rPr>
          <w:b w:val="0"/>
          <w:color w:val="auto"/>
          <w:sz w:val="24"/>
          <w:szCs w:val="24"/>
          <w:lang w:val="en"/>
        </w:rPr>
        <w:t xml:space="preserve"> </w:t>
      </w:r>
      <w:proofErr w:type="spellStart"/>
      <w:proofErr w:type="gramStart"/>
      <w:r w:rsidRPr="00290B88">
        <w:rPr>
          <w:b w:val="0"/>
          <w:color w:val="auto"/>
          <w:sz w:val="24"/>
          <w:szCs w:val="24"/>
          <w:lang w:val="en"/>
        </w:rPr>
        <w:t>doi</w:t>
      </w:r>
      <w:proofErr w:type="spellEnd"/>
      <w:proofErr w:type="gramEnd"/>
      <w:r w:rsidRPr="00290B88">
        <w:rPr>
          <w:b w:val="0"/>
          <w:color w:val="auto"/>
          <w:sz w:val="24"/>
          <w:szCs w:val="24"/>
          <w:lang w:val="en"/>
        </w:rPr>
        <w:t xml:space="preserve">: 10.1177/0091552106296645 </w:t>
      </w:r>
    </w:p>
    <w:p w:rsidR="00290B88" w:rsidRPr="00290B88" w:rsidRDefault="00290B88" w:rsidP="00290B88">
      <w:pPr>
        <w:pStyle w:val="Heading1"/>
        <w:spacing w:before="0"/>
        <w:rPr>
          <w:b w:val="0"/>
          <w:color w:val="auto"/>
          <w:sz w:val="24"/>
          <w:szCs w:val="24"/>
          <w:lang w:val="en"/>
        </w:rPr>
      </w:pPr>
    </w:p>
    <w:p w:rsidR="00290B88" w:rsidRPr="00290B88" w:rsidRDefault="00290B88" w:rsidP="00290B88">
      <w:pPr>
        <w:pStyle w:val="Heading1"/>
        <w:spacing w:before="0" w:line="240" w:lineRule="auto"/>
        <w:rPr>
          <w:b w:val="0"/>
          <w:i/>
          <w:iCs/>
          <w:color w:val="auto"/>
          <w:sz w:val="24"/>
          <w:szCs w:val="24"/>
          <w:lang w:val="en"/>
        </w:rPr>
      </w:pPr>
      <w:r w:rsidRPr="00290B88">
        <w:rPr>
          <w:b w:val="0"/>
          <w:color w:val="auto"/>
          <w:sz w:val="24"/>
          <w:szCs w:val="24"/>
          <w:lang w:val="en"/>
        </w:rPr>
        <w:t>Eaton draws heavily on Cohen’s research over the last decade to prove that the open door policy at community colleges has left this domain with the same challenges in the 21</w:t>
      </w:r>
      <w:r w:rsidRPr="00290B88">
        <w:rPr>
          <w:b w:val="0"/>
          <w:color w:val="auto"/>
          <w:sz w:val="24"/>
          <w:szCs w:val="24"/>
          <w:vertAlign w:val="superscript"/>
          <w:lang w:val="en"/>
        </w:rPr>
        <w:t>st</w:t>
      </w:r>
      <w:r w:rsidRPr="00290B88">
        <w:rPr>
          <w:b w:val="0"/>
          <w:color w:val="auto"/>
          <w:sz w:val="24"/>
          <w:szCs w:val="24"/>
          <w:lang w:val="en"/>
        </w:rPr>
        <w:t xml:space="preserve"> century as it faced more than 10 years ago. However, now community colleges, rather than acting as feeder schools to four year universities (as Cohen had envisioned), act as a portal to an immediate occupation. </w:t>
      </w:r>
      <w:r w:rsidRPr="00290B88">
        <w:rPr>
          <w:b w:val="0"/>
          <w:i/>
          <w:iCs/>
          <w:color w:val="auto"/>
          <w:sz w:val="24"/>
          <w:szCs w:val="24"/>
          <w:lang w:val="en"/>
        </w:rPr>
        <w:t xml:space="preserve"> </w:t>
      </w:r>
    </w:p>
    <w:p w:rsidR="00290B88" w:rsidRDefault="00290B88" w:rsidP="00290B88">
      <w:pPr>
        <w:spacing w:after="0" w:line="240" w:lineRule="auto"/>
        <w:rPr>
          <w:rFonts w:ascii="Times New Roman" w:eastAsia="Times New Roman" w:hAnsi="Times New Roman" w:cs="Times New Roman"/>
          <w:sz w:val="24"/>
          <w:szCs w:val="24"/>
        </w:rPr>
      </w:pPr>
    </w:p>
    <w:p w:rsidR="00290B88" w:rsidRDefault="00290B88" w:rsidP="00290B88">
      <w:pPr>
        <w:spacing w:after="0" w:line="240" w:lineRule="auto"/>
        <w:rPr>
          <w:rFonts w:ascii="Times New Roman" w:eastAsia="Times New Roman" w:hAnsi="Times New Roman" w:cs="Times New Roman"/>
          <w:sz w:val="24"/>
          <w:szCs w:val="24"/>
        </w:rPr>
      </w:pPr>
      <w:r w:rsidRPr="000F2595">
        <w:rPr>
          <w:rFonts w:ascii="Times New Roman" w:eastAsia="Times New Roman" w:hAnsi="Times New Roman" w:cs="Times New Roman"/>
          <w:sz w:val="24"/>
          <w:szCs w:val="24"/>
        </w:rPr>
        <w:t xml:space="preserve">Hollister, D.C.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xml:space="preserve">). </w:t>
      </w:r>
      <w:r w:rsidRPr="000F2595">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p</w:t>
      </w:r>
      <w:r w:rsidRPr="000F2595">
        <w:rPr>
          <w:rFonts w:ascii="Times New Roman" w:eastAsia="Times New Roman" w:hAnsi="Times New Roman" w:cs="Times New Roman"/>
          <w:sz w:val="24"/>
          <w:szCs w:val="24"/>
        </w:rPr>
        <w:t xml:space="preserve">ublic </w:t>
      </w:r>
      <w:r>
        <w:rPr>
          <w:rFonts w:ascii="Times New Roman" w:eastAsia="Times New Roman" w:hAnsi="Times New Roman" w:cs="Times New Roman"/>
          <w:sz w:val="24"/>
          <w:szCs w:val="24"/>
        </w:rPr>
        <w:t>p</w:t>
      </w:r>
      <w:r w:rsidRPr="000F2595">
        <w:rPr>
          <w:rFonts w:ascii="Times New Roman" w:eastAsia="Times New Roman" w:hAnsi="Times New Roman" w:cs="Times New Roman"/>
          <w:sz w:val="24"/>
          <w:szCs w:val="24"/>
        </w:rPr>
        <w:t xml:space="preserve">olicy </w:t>
      </w:r>
      <w:r>
        <w:rPr>
          <w:rFonts w:ascii="Times New Roman" w:eastAsia="Times New Roman" w:hAnsi="Times New Roman" w:cs="Times New Roman"/>
          <w:sz w:val="24"/>
          <w:szCs w:val="24"/>
        </w:rPr>
        <w:t>p</w:t>
      </w:r>
      <w:r w:rsidRPr="000F2595">
        <w:rPr>
          <w:rFonts w:ascii="Times New Roman" w:eastAsia="Times New Roman" w:hAnsi="Times New Roman" w:cs="Times New Roman"/>
          <w:sz w:val="24"/>
          <w:szCs w:val="24"/>
        </w:rPr>
        <w:t>rimer</w:t>
      </w:r>
      <w:r>
        <w:rPr>
          <w:rFonts w:ascii="Times New Roman" w:eastAsia="Times New Roman" w:hAnsi="Times New Roman" w:cs="Times New Roman"/>
          <w:sz w:val="24"/>
          <w:szCs w:val="24"/>
        </w:rPr>
        <w:t>:</w:t>
      </w:r>
      <w:r w:rsidRPr="000F2595">
        <w:rPr>
          <w:rFonts w:ascii="Times New Roman" w:eastAsia="Times New Roman" w:hAnsi="Times New Roman" w:cs="Times New Roman"/>
          <w:sz w:val="24"/>
          <w:szCs w:val="24"/>
        </w:rPr>
        <w:t xml:space="preserve"> How to </w:t>
      </w:r>
      <w:r>
        <w:rPr>
          <w:rFonts w:ascii="Times New Roman" w:eastAsia="Times New Roman" w:hAnsi="Times New Roman" w:cs="Times New Roman"/>
          <w:sz w:val="24"/>
          <w:szCs w:val="24"/>
        </w:rPr>
        <w:t>g</w:t>
      </w:r>
      <w:r w:rsidRPr="000F2595">
        <w:rPr>
          <w:rFonts w:ascii="Times New Roman" w:eastAsia="Times New Roman" w:hAnsi="Times New Roman" w:cs="Times New Roman"/>
          <w:sz w:val="24"/>
          <w:szCs w:val="24"/>
        </w:rPr>
        <w:t>et off the sidelines and into the game.</w:t>
      </w:r>
    </w:p>
    <w:p w:rsidR="00290B88" w:rsidRPr="00290B88" w:rsidRDefault="00290B88" w:rsidP="00290B88">
      <w:pPr>
        <w:spacing w:after="0" w:line="240" w:lineRule="auto"/>
        <w:ind w:firstLine="720"/>
        <w:rPr>
          <w:rFonts w:ascii="Times New Roman" w:eastAsia="Times New Roman" w:hAnsi="Times New Roman" w:cs="Times New Roman"/>
          <w:sz w:val="24"/>
          <w:szCs w:val="24"/>
        </w:rPr>
      </w:pPr>
      <w:r w:rsidRPr="000F25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Retrieved from </w:t>
      </w:r>
      <w:hyperlink r:id="rId7" w:history="1">
        <w:r w:rsidRPr="00290B88">
          <w:rPr>
            <w:rStyle w:val="Hyperlink"/>
            <w:rFonts w:ascii="Times New Roman" w:eastAsia="Times New Roman" w:hAnsi="Times New Roman" w:cs="Times New Roman"/>
            <w:color w:val="auto"/>
            <w:sz w:val="24"/>
            <w:szCs w:val="24"/>
          </w:rPr>
          <w:t>http://www.iel.org/pubs/publicpolicy.pdf</w:t>
        </w:r>
      </w:hyperlink>
    </w:p>
    <w:p w:rsidR="00290B88" w:rsidRDefault="00290B88" w:rsidP="00290B88">
      <w:pPr>
        <w:spacing w:after="0" w:line="240" w:lineRule="auto"/>
        <w:rPr>
          <w:rFonts w:ascii="Times New Roman" w:eastAsia="Times New Roman" w:hAnsi="Times New Roman" w:cs="Times New Roman"/>
          <w:sz w:val="24"/>
          <w:szCs w:val="24"/>
        </w:rPr>
      </w:pPr>
    </w:p>
    <w:p w:rsidR="00290B88" w:rsidRPr="000F2595" w:rsidRDefault="00290B88" w:rsidP="00290B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Hollister explains the multifaceted process of decision making in a democratic society and reveals how individuals and groups can have their voices heard by providing a useful primer on public policy. Teacher leaders will find his appendix, “A Simple Guide for Social Change,” particularly helpful as he outlines the ten elements of power and provides a step-by-step strategy to successfully institute reform.</w:t>
      </w:r>
    </w:p>
    <w:p w:rsidR="00290B88" w:rsidRPr="000F2595" w:rsidRDefault="00290B88" w:rsidP="00290B88">
      <w:pPr>
        <w:pStyle w:val="Heading1"/>
        <w:spacing w:before="0"/>
        <w:rPr>
          <w:b w:val="0"/>
          <w:sz w:val="24"/>
          <w:szCs w:val="24"/>
          <w:lang w:val="en"/>
        </w:rPr>
      </w:pPr>
    </w:p>
    <w:p w:rsidR="00290B88" w:rsidRDefault="00290B88" w:rsidP="00290B88">
      <w:pPr>
        <w:pStyle w:val="Heading2"/>
        <w:spacing w:before="0" w:beforeAutospacing="0" w:after="0" w:afterAutospacing="0"/>
        <w:rPr>
          <w:b w:val="0"/>
          <w:sz w:val="24"/>
          <w:szCs w:val="24"/>
        </w:rPr>
      </w:pPr>
      <w:r w:rsidRPr="006F23A4">
        <w:rPr>
          <w:b w:val="0"/>
          <w:sz w:val="24"/>
          <w:szCs w:val="24"/>
        </w:rPr>
        <w:t xml:space="preserve">Hoyt, J. </w:t>
      </w:r>
      <w:r>
        <w:rPr>
          <w:b w:val="0"/>
          <w:sz w:val="24"/>
          <w:szCs w:val="24"/>
        </w:rPr>
        <w:t xml:space="preserve">(1999). </w:t>
      </w:r>
      <w:proofErr w:type="gramStart"/>
      <w:r w:rsidRPr="006F23A4">
        <w:rPr>
          <w:b w:val="0"/>
          <w:sz w:val="24"/>
          <w:szCs w:val="24"/>
        </w:rPr>
        <w:t xml:space="preserve">Remedial </w:t>
      </w:r>
      <w:r>
        <w:rPr>
          <w:b w:val="0"/>
          <w:sz w:val="24"/>
          <w:szCs w:val="24"/>
        </w:rPr>
        <w:t>e</w:t>
      </w:r>
      <w:r w:rsidRPr="006F23A4">
        <w:rPr>
          <w:b w:val="0"/>
          <w:sz w:val="24"/>
          <w:szCs w:val="24"/>
        </w:rPr>
        <w:t xml:space="preserve">ducation </w:t>
      </w:r>
      <w:r>
        <w:rPr>
          <w:b w:val="0"/>
          <w:sz w:val="24"/>
          <w:szCs w:val="24"/>
        </w:rPr>
        <w:t>an</w:t>
      </w:r>
      <w:r w:rsidRPr="006F23A4">
        <w:rPr>
          <w:b w:val="0"/>
          <w:sz w:val="24"/>
          <w:szCs w:val="24"/>
        </w:rPr>
        <w:t xml:space="preserve">d </w:t>
      </w:r>
      <w:r>
        <w:rPr>
          <w:b w:val="0"/>
          <w:sz w:val="24"/>
          <w:szCs w:val="24"/>
        </w:rPr>
        <w:t>s</w:t>
      </w:r>
      <w:r w:rsidRPr="006F23A4">
        <w:rPr>
          <w:b w:val="0"/>
          <w:sz w:val="24"/>
          <w:szCs w:val="24"/>
        </w:rPr>
        <w:t xml:space="preserve">tudent </w:t>
      </w:r>
      <w:r>
        <w:rPr>
          <w:b w:val="0"/>
          <w:sz w:val="24"/>
          <w:szCs w:val="24"/>
        </w:rPr>
        <w:t>a</w:t>
      </w:r>
      <w:r w:rsidRPr="006F23A4">
        <w:rPr>
          <w:b w:val="0"/>
          <w:sz w:val="24"/>
          <w:szCs w:val="24"/>
        </w:rPr>
        <w:t>ttrition</w:t>
      </w:r>
      <w:r>
        <w:rPr>
          <w:b w:val="0"/>
          <w:sz w:val="24"/>
          <w:szCs w:val="24"/>
        </w:rPr>
        <w:t>.</w:t>
      </w:r>
      <w:proofErr w:type="gramEnd"/>
      <w:r>
        <w:rPr>
          <w:b w:val="0"/>
          <w:sz w:val="24"/>
          <w:szCs w:val="24"/>
        </w:rPr>
        <w:t xml:space="preserve"> </w:t>
      </w:r>
      <w:r w:rsidRPr="006F23A4">
        <w:rPr>
          <w:b w:val="0"/>
          <w:sz w:val="24"/>
          <w:szCs w:val="24"/>
        </w:rPr>
        <w:t xml:space="preserve"> </w:t>
      </w:r>
      <w:r w:rsidRPr="006F23A4">
        <w:rPr>
          <w:rStyle w:val="publicationtitle"/>
          <w:b w:val="0"/>
          <w:i/>
          <w:sz w:val="24"/>
          <w:szCs w:val="24"/>
        </w:rPr>
        <w:t>Community College Review</w:t>
      </w:r>
      <w:r w:rsidRPr="006F23A4">
        <w:rPr>
          <w:b w:val="0"/>
          <w:i/>
          <w:sz w:val="24"/>
          <w:szCs w:val="24"/>
        </w:rPr>
        <w:t>,</w:t>
      </w:r>
      <w:r w:rsidRPr="006F23A4">
        <w:rPr>
          <w:b w:val="0"/>
          <w:sz w:val="24"/>
          <w:szCs w:val="24"/>
        </w:rPr>
        <w:t xml:space="preserve"> </w:t>
      </w:r>
      <w:r w:rsidRPr="006F23A4">
        <w:rPr>
          <w:b w:val="0"/>
          <w:i/>
          <w:sz w:val="24"/>
          <w:szCs w:val="24"/>
        </w:rPr>
        <w:t>27</w:t>
      </w:r>
      <w:r>
        <w:rPr>
          <w:b w:val="0"/>
          <w:sz w:val="24"/>
          <w:szCs w:val="24"/>
        </w:rPr>
        <w:t>(</w:t>
      </w:r>
      <w:r w:rsidRPr="006F23A4">
        <w:rPr>
          <w:b w:val="0"/>
          <w:sz w:val="24"/>
          <w:szCs w:val="24"/>
        </w:rPr>
        <w:t>2</w:t>
      </w:r>
      <w:r>
        <w:rPr>
          <w:b w:val="0"/>
          <w:sz w:val="24"/>
          <w:szCs w:val="24"/>
        </w:rPr>
        <w:t>)</w:t>
      </w:r>
      <w:r w:rsidRPr="006F23A4">
        <w:rPr>
          <w:b w:val="0"/>
          <w:sz w:val="24"/>
          <w:szCs w:val="24"/>
        </w:rPr>
        <w:t xml:space="preserve">, </w:t>
      </w:r>
    </w:p>
    <w:p w:rsidR="00290B88" w:rsidRDefault="00290B88" w:rsidP="00290B88">
      <w:pPr>
        <w:pStyle w:val="Heading2"/>
        <w:spacing w:before="0" w:beforeAutospacing="0" w:after="0" w:afterAutospacing="0"/>
        <w:ind w:firstLine="720"/>
        <w:rPr>
          <w:b w:val="0"/>
          <w:sz w:val="24"/>
          <w:szCs w:val="24"/>
        </w:rPr>
      </w:pPr>
      <w:r w:rsidRPr="006F23A4">
        <w:rPr>
          <w:b w:val="0"/>
          <w:sz w:val="24"/>
          <w:szCs w:val="24"/>
        </w:rPr>
        <w:t>51 – 72</w:t>
      </w:r>
      <w:r>
        <w:rPr>
          <w:b w:val="0"/>
          <w:sz w:val="24"/>
          <w:szCs w:val="24"/>
        </w:rPr>
        <w:t>.</w:t>
      </w:r>
    </w:p>
    <w:p w:rsidR="00290B88" w:rsidRDefault="00290B88" w:rsidP="00290B88">
      <w:pPr>
        <w:autoSpaceDE w:val="0"/>
        <w:autoSpaceDN w:val="0"/>
        <w:adjustRightInd w:val="0"/>
        <w:spacing w:after="0" w:line="240" w:lineRule="auto"/>
        <w:rPr>
          <w:rFonts w:ascii="Times New Roman" w:hAnsi="Times New Roman" w:cs="Times New Roman"/>
          <w:sz w:val="24"/>
          <w:szCs w:val="24"/>
        </w:rPr>
      </w:pPr>
    </w:p>
    <w:p w:rsidR="00290B88" w:rsidRPr="00C92552" w:rsidRDefault="00290B88" w:rsidP="00290B88">
      <w:pPr>
        <w:autoSpaceDE w:val="0"/>
        <w:autoSpaceDN w:val="0"/>
        <w:adjustRightInd w:val="0"/>
        <w:spacing w:after="0" w:line="240" w:lineRule="auto"/>
        <w:rPr>
          <w:rFonts w:ascii="Times New Roman" w:hAnsi="Times New Roman" w:cs="Times New Roman"/>
          <w:sz w:val="24"/>
          <w:szCs w:val="24"/>
        </w:rPr>
      </w:pPr>
      <w:r w:rsidRPr="000F37E0">
        <w:rPr>
          <w:rFonts w:ascii="Times New Roman" w:hAnsi="Times New Roman" w:cs="Times New Roman"/>
          <w:sz w:val="24"/>
          <w:szCs w:val="24"/>
        </w:rPr>
        <w:t>Hoyt exam</w:t>
      </w:r>
      <w:r>
        <w:rPr>
          <w:rFonts w:ascii="Times New Roman" w:hAnsi="Times New Roman" w:cs="Times New Roman"/>
          <w:sz w:val="24"/>
          <w:szCs w:val="24"/>
        </w:rPr>
        <w:t>ines</w:t>
      </w:r>
      <w:r w:rsidRPr="000F37E0">
        <w:rPr>
          <w:rFonts w:ascii="Times New Roman" w:hAnsi="Times New Roman" w:cs="Times New Roman"/>
          <w:sz w:val="24"/>
          <w:szCs w:val="24"/>
        </w:rPr>
        <w:t xml:space="preserve"> student retention based on characteristics of students</w:t>
      </w:r>
      <w:r>
        <w:rPr>
          <w:rFonts w:ascii="Times New Roman" w:hAnsi="Times New Roman" w:cs="Times New Roman"/>
          <w:sz w:val="24"/>
          <w:szCs w:val="24"/>
        </w:rPr>
        <w:t>. His key findings indicate that the most significant factors contributing to student attrition are the need for remediation and financial support.</w:t>
      </w:r>
      <w:r w:rsidRPr="00C92552">
        <w:rPr>
          <w:rFonts w:ascii="Times New Roman" w:hAnsi="Times New Roman" w:cs="Times New Roman"/>
          <w:sz w:val="24"/>
          <w:szCs w:val="24"/>
        </w:rPr>
        <w:t xml:space="preserve"> </w:t>
      </w:r>
    </w:p>
    <w:p w:rsidR="00290B88" w:rsidRDefault="00290B88" w:rsidP="00290B88">
      <w:pPr>
        <w:pStyle w:val="byline"/>
        <w:spacing w:before="0" w:beforeAutospacing="0" w:after="0" w:afterAutospacing="0"/>
      </w:pPr>
    </w:p>
    <w:p w:rsidR="00290B88" w:rsidRDefault="00290B88" w:rsidP="00290B88">
      <w:pPr>
        <w:pStyle w:val="byline"/>
        <w:spacing w:before="0" w:beforeAutospacing="0" w:after="0" w:afterAutospacing="0"/>
      </w:pPr>
      <w:r w:rsidRPr="000F2595">
        <w:t>Johnson</w:t>
      </w:r>
      <w:r>
        <w:t xml:space="preserve">, L. (2011). Community college dropouts cost taxpayers nearly $1billion a year, report </w:t>
      </w:r>
    </w:p>
    <w:p w:rsidR="00290B88" w:rsidRPr="00290B88" w:rsidRDefault="00290B88" w:rsidP="00290B88">
      <w:pPr>
        <w:pStyle w:val="byline"/>
        <w:spacing w:before="0" w:beforeAutospacing="0" w:after="0" w:afterAutospacing="0"/>
        <w:rPr>
          <w:rStyle w:val="Hyperlink"/>
          <w:color w:val="auto"/>
        </w:rPr>
      </w:pPr>
      <w:r>
        <w:tab/>
      </w:r>
      <w:proofErr w:type="gramStart"/>
      <w:r>
        <w:t>says</w:t>
      </w:r>
      <w:proofErr w:type="gramEnd"/>
      <w:r>
        <w:t xml:space="preserve">. Retrieved from </w:t>
      </w:r>
      <w:hyperlink r:id="rId8" w:history="1">
        <w:r w:rsidRPr="00290B88">
          <w:rPr>
            <w:rStyle w:val="Hyperlink"/>
            <w:color w:val="auto"/>
          </w:rPr>
          <w:t>http://chronicle.com/article/Community-College-Dropouts/129475/</w:t>
        </w:r>
      </w:hyperlink>
    </w:p>
    <w:p w:rsidR="00290B88" w:rsidRPr="00290B88" w:rsidRDefault="00290B88" w:rsidP="00290B88">
      <w:pPr>
        <w:pStyle w:val="byline"/>
        <w:spacing w:before="0" w:beforeAutospacing="0" w:after="0" w:afterAutospacing="0"/>
        <w:rPr>
          <w:rStyle w:val="Hyperlink"/>
          <w:color w:val="auto"/>
        </w:rPr>
      </w:pPr>
    </w:p>
    <w:p w:rsidR="00290B88" w:rsidRPr="00290B88" w:rsidRDefault="00290B88" w:rsidP="00290B88">
      <w:pPr>
        <w:pStyle w:val="byline"/>
        <w:spacing w:before="0" w:beforeAutospacing="0" w:after="0" w:afterAutospacing="0"/>
      </w:pPr>
      <w:r w:rsidRPr="00290B88">
        <w:rPr>
          <w:rStyle w:val="Hyperlink"/>
          <w:color w:val="auto"/>
          <w:u w:val="none"/>
        </w:rPr>
        <w:t>This brief article provides an eye-opening account of the real cost to colleges and taxpayers of attrition in community colleges.</w:t>
      </w:r>
    </w:p>
    <w:p w:rsidR="00290B88" w:rsidRDefault="00290B88" w:rsidP="00290B88">
      <w:pPr>
        <w:spacing w:after="0" w:line="240" w:lineRule="auto"/>
        <w:rPr>
          <w:rFonts w:ascii="Times New Roman" w:eastAsia="Times New Roman" w:hAnsi="Times New Roman" w:cs="Times New Roman"/>
          <w:sz w:val="24"/>
          <w:szCs w:val="24"/>
        </w:rPr>
      </w:pPr>
    </w:p>
    <w:p w:rsidR="00290B88" w:rsidRDefault="00290B88" w:rsidP="00290B88">
      <w:pPr>
        <w:spacing w:after="0" w:line="240" w:lineRule="auto"/>
        <w:rPr>
          <w:rFonts w:ascii="Times New Roman" w:eastAsia="Times New Roman" w:hAnsi="Times New Roman" w:cs="Times New Roman"/>
          <w:sz w:val="24"/>
          <w:szCs w:val="24"/>
        </w:rPr>
      </w:pPr>
      <w:r w:rsidRPr="000F2595">
        <w:rPr>
          <w:rFonts w:ascii="Times New Roman" w:eastAsia="Times New Roman" w:hAnsi="Times New Roman" w:cs="Times New Roman"/>
          <w:sz w:val="24"/>
          <w:szCs w:val="24"/>
        </w:rPr>
        <w:t xml:space="preserve">Jones, S.W. </w:t>
      </w:r>
      <w:r>
        <w:rPr>
          <w:rFonts w:ascii="Times New Roman" w:eastAsia="Times New Roman" w:hAnsi="Times New Roman" w:cs="Times New Roman"/>
          <w:sz w:val="24"/>
          <w:szCs w:val="24"/>
        </w:rPr>
        <w:t>(1986). No magic required: Reducing freshman attrition at the community college.</w:t>
      </w:r>
    </w:p>
    <w:p w:rsidR="00290B88" w:rsidRDefault="00290B88" w:rsidP="00290B8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C785C">
        <w:rPr>
          <w:rFonts w:ascii="Times New Roman" w:eastAsia="Times New Roman" w:hAnsi="Times New Roman" w:cs="Times New Roman"/>
          <w:i/>
          <w:sz w:val="24"/>
          <w:szCs w:val="24"/>
        </w:rPr>
        <w:t>Community College Review, 14</w:t>
      </w:r>
      <w:r w:rsidRPr="000F25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0F2595">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0F2595">
        <w:rPr>
          <w:rFonts w:ascii="Times New Roman" w:eastAsia="Times New Roman" w:hAnsi="Times New Roman" w:cs="Times New Roman"/>
          <w:sz w:val="24"/>
          <w:szCs w:val="24"/>
        </w:rPr>
        <w:t xml:space="preserve"> 14 </w:t>
      </w:r>
      <w:r>
        <w:rPr>
          <w:rFonts w:ascii="Times New Roman" w:eastAsia="Times New Roman" w:hAnsi="Times New Roman" w:cs="Times New Roman"/>
          <w:sz w:val="24"/>
          <w:szCs w:val="24"/>
        </w:rPr>
        <w:t>–</w:t>
      </w:r>
      <w:r w:rsidRPr="000F2595">
        <w:rPr>
          <w:rFonts w:ascii="Times New Roman" w:eastAsia="Times New Roman" w:hAnsi="Times New Roman" w:cs="Times New Roman"/>
          <w:sz w:val="24"/>
          <w:szCs w:val="24"/>
        </w:rPr>
        <w:t xml:space="preserve"> 18</w:t>
      </w:r>
      <w:r>
        <w:rPr>
          <w:rFonts w:ascii="Times New Roman" w:eastAsia="Times New Roman" w:hAnsi="Times New Roman" w:cs="Times New Roman"/>
          <w:sz w:val="24"/>
          <w:szCs w:val="24"/>
        </w:rPr>
        <w:t>.</w:t>
      </w:r>
      <w:r w:rsidRPr="000F2595">
        <w:rPr>
          <w:rFonts w:ascii="Times New Roman" w:eastAsia="Times New Roman" w:hAnsi="Times New Roman" w:cs="Times New Roman"/>
          <w:sz w:val="24"/>
          <w:szCs w:val="24"/>
        </w:rPr>
        <w:t xml:space="preserve"> </w:t>
      </w:r>
    </w:p>
    <w:p w:rsidR="00290B88" w:rsidRDefault="00290B88" w:rsidP="00290B88">
      <w:pPr>
        <w:spacing w:after="0" w:line="240" w:lineRule="auto"/>
        <w:rPr>
          <w:rFonts w:ascii="Times New Roman" w:eastAsia="Times New Roman" w:hAnsi="Times New Roman" w:cs="Times New Roman"/>
          <w:sz w:val="24"/>
          <w:szCs w:val="24"/>
        </w:rPr>
      </w:pPr>
    </w:p>
    <w:p w:rsidR="00290B88" w:rsidRDefault="00290B88" w:rsidP="00290B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Jones discusses the discrepancies in numerous studies conducted to identify students who are at risk of dropping out of college. He suggests that institutions take a statistical approach to identify at-risk students and put into place a plan to reduce attrition, but he notes that research demonstrates that interaction between faculty and support staff with students to help students feel connected to the college is one of the most effective means of retention.</w:t>
      </w:r>
    </w:p>
    <w:p w:rsidR="00290B88" w:rsidRDefault="00290B88" w:rsidP="00290B88">
      <w:pPr>
        <w:spacing w:after="0" w:line="240" w:lineRule="auto"/>
        <w:rPr>
          <w:rFonts w:ascii="Times New Roman" w:eastAsia="Times New Roman" w:hAnsi="Times New Roman" w:cs="Times New Roman"/>
          <w:b/>
          <w:bCs/>
          <w:sz w:val="24"/>
          <w:szCs w:val="24"/>
          <w:lang w:val="en"/>
        </w:rPr>
      </w:pPr>
      <w:r>
        <w:rPr>
          <w:rFonts w:ascii="Times New Roman" w:eastAsia="Times New Roman" w:hAnsi="Times New Roman" w:cs="Times New Roman"/>
          <w:b/>
          <w:bCs/>
          <w:sz w:val="24"/>
          <w:szCs w:val="24"/>
          <w:lang w:val="en"/>
        </w:rPr>
        <w:t xml:space="preserve"> </w:t>
      </w:r>
    </w:p>
    <w:p w:rsidR="00290B88" w:rsidRDefault="00290B88" w:rsidP="00290B88">
      <w:pPr>
        <w:pStyle w:val="Heading2"/>
        <w:spacing w:before="0" w:beforeAutospacing="0" w:after="0" w:afterAutospacing="0"/>
        <w:rPr>
          <w:b w:val="0"/>
          <w:bCs w:val="0"/>
          <w:sz w:val="24"/>
          <w:szCs w:val="24"/>
          <w:lang w:val="en"/>
        </w:rPr>
      </w:pPr>
      <w:proofErr w:type="spellStart"/>
      <w:proofErr w:type="gramStart"/>
      <w:r>
        <w:rPr>
          <w:b w:val="0"/>
          <w:bCs w:val="0"/>
          <w:sz w:val="24"/>
          <w:szCs w:val="24"/>
          <w:lang w:val="en"/>
        </w:rPr>
        <w:t>Katsinus</w:t>
      </w:r>
      <w:proofErr w:type="spellEnd"/>
      <w:r>
        <w:rPr>
          <w:b w:val="0"/>
          <w:bCs w:val="0"/>
          <w:sz w:val="24"/>
          <w:szCs w:val="24"/>
          <w:lang w:val="en"/>
        </w:rPr>
        <w:t xml:space="preserve">, S.G., </w:t>
      </w:r>
      <w:proofErr w:type="spellStart"/>
      <w:r>
        <w:rPr>
          <w:b w:val="0"/>
          <w:bCs w:val="0"/>
          <w:sz w:val="24"/>
          <w:szCs w:val="24"/>
          <w:lang w:val="en"/>
        </w:rPr>
        <w:t>Kinkead</w:t>
      </w:r>
      <w:proofErr w:type="spellEnd"/>
      <w:r>
        <w:rPr>
          <w:b w:val="0"/>
          <w:bCs w:val="0"/>
          <w:sz w:val="24"/>
          <w:szCs w:val="24"/>
          <w:lang w:val="en"/>
        </w:rPr>
        <w:t xml:space="preserve">, J.C., &amp; </w:t>
      </w:r>
      <w:proofErr w:type="spellStart"/>
      <w:r>
        <w:rPr>
          <w:b w:val="0"/>
          <w:bCs w:val="0"/>
          <w:sz w:val="24"/>
          <w:szCs w:val="24"/>
          <w:lang w:val="en"/>
        </w:rPr>
        <w:t>Kennamar</w:t>
      </w:r>
      <w:proofErr w:type="spellEnd"/>
      <w:r>
        <w:rPr>
          <w:b w:val="0"/>
          <w:bCs w:val="0"/>
          <w:sz w:val="24"/>
          <w:szCs w:val="24"/>
          <w:lang w:val="en"/>
        </w:rPr>
        <w:t>, M.A. (2009).</w:t>
      </w:r>
      <w:proofErr w:type="gramEnd"/>
      <w:r>
        <w:rPr>
          <w:b w:val="0"/>
          <w:bCs w:val="0"/>
          <w:sz w:val="24"/>
          <w:szCs w:val="24"/>
          <w:lang w:val="en"/>
        </w:rPr>
        <w:t xml:space="preserve">  Summary and possible directions for </w:t>
      </w:r>
    </w:p>
    <w:p w:rsidR="00290B88" w:rsidRDefault="00290B88" w:rsidP="00290B88">
      <w:pPr>
        <w:pStyle w:val="Heading2"/>
        <w:spacing w:before="0" w:beforeAutospacing="0" w:after="0" w:afterAutospacing="0"/>
        <w:rPr>
          <w:b w:val="0"/>
          <w:sz w:val="24"/>
          <w:szCs w:val="24"/>
        </w:rPr>
      </w:pPr>
      <w:r>
        <w:rPr>
          <w:b w:val="0"/>
          <w:bCs w:val="0"/>
          <w:sz w:val="24"/>
          <w:szCs w:val="24"/>
          <w:lang w:val="en"/>
        </w:rPr>
        <w:tab/>
      </w:r>
      <w:proofErr w:type="gramStart"/>
      <w:r>
        <w:rPr>
          <w:b w:val="0"/>
          <w:bCs w:val="0"/>
          <w:sz w:val="24"/>
          <w:szCs w:val="24"/>
          <w:lang w:val="en"/>
        </w:rPr>
        <w:t>research</w:t>
      </w:r>
      <w:proofErr w:type="gramEnd"/>
      <w:r>
        <w:rPr>
          <w:b w:val="0"/>
          <w:bCs w:val="0"/>
          <w:sz w:val="24"/>
          <w:szCs w:val="24"/>
          <w:lang w:val="en"/>
        </w:rPr>
        <w:t xml:space="preserve"> and practice. </w:t>
      </w:r>
      <w:r w:rsidRPr="00924FD5">
        <w:rPr>
          <w:b w:val="0"/>
          <w:i/>
          <w:iCs/>
          <w:sz w:val="24"/>
          <w:szCs w:val="24"/>
        </w:rPr>
        <w:t xml:space="preserve">Community College Journal </w:t>
      </w:r>
      <w:r w:rsidRPr="00924FD5">
        <w:rPr>
          <w:b w:val="0"/>
          <w:i/>
          <w:iCs/>
        </w:rPr>
        <w:t>o</w:t>
      </w:r>
      <w:r w:rsidRPr="00924FD5">
        <w:rPr>
          <w:b w:val="0"/>
          <w:i/>
          <w:iCs/>
          <w:sz w:val="24"/>
          <w:szCs w:val="24"/>
        </w:rPr>
        <w:t>f Research &amp; Practice</w:t>
      </w:r>
      <w:r w:rsidRPr="00924FD5">
        <w:rPr>
          <w:b w:val="0"/>
          <w:sz w:val="24"/>
          <w:szCs w:val="24"/>
        </w:rPr>
        <w:t>,</w:t>
      </w:r>
      <w:r>
        <w:rPr>
          <w:sz w:val="24"/>
          <w:szCs w:val="24"/>
        </w:rPr>
        <w:t xml:space="preserve"> </w:t>
      </w:r>
      <w:r>
        <w:rPr>
          <w:b w:val="0"/>
          <w:i/>
          <w:sz w:val="24"/>
          <w:szCs w:val="24"/>
        </w:rPr>
        <w:t>33</w:t>
      </w:r>
      <w:r>
        <w:rPr>
          <w:b w:val="0"/>
          <w:sz w:val="24"/>
          <w:szCs w:val="24"/>
        </w:rPr>
        <w:t>,</w:t>
      </w:r>
      <w:r w:rsidRPr="00924FD5">
        <w:rPr>
          <w:b w:val="0"/>
          <w:sz w:val="24"/>
          <w:szCs w:val="24"/>
        </w:rPr>
        <w:t xml:space="preserve"> 658-</w:t>
      </w:r>
    </w:p>
    <w:p w:rsidR="00290B88" w:rsidRDefault="00290B88" w:rsidP="00290B88">
      <w:pPr>
        <w:pStyle w:val="Heading2"/>
        <w:spacing w:before="0" w:beforeAutospacing="0" w:after="0" w:afterAutospacing="0"/>
        <w:rPr>
          <w:b w:val="0"/>
          <w:sz w:val="24"/>
          <w:szCs w:val="24"/>
        </w:rPr>
      </w:pPr>
      <w:r>
        <w:rPr>
          <w:b w:val="0"/>
          <w:sz w:val="24"/>
          <w:szCs w:val="24"/>
        </w:rPr>
        <w:tab/>
      </w:r>
      <w:r w:rsidRPr="00924FD5">
        <w:rPr>
          <w:b w:val="0"/>
          <w:sz w:val="24"/>
          <w:szCs w:val="24"/>
        </w:rPr>
        <w:t xml:space="preserve">664. </w:t>
      </w:r>
      <w:proofErr w:type="gramStart"/>
      <w:r>
        <w:rPr>
          <w:b w:val="0"/>
          <w:sz w:val="24"/>
          <w:szCs w:val="24"/>
        </w:rPr>
        <w:t>d</w:t>
      </w:r>
      <w:r w:rsidRPr="00924FD5">
        <w:rPr>
          <w:b w:val="0"/>
          <w:sz w:val="24"/>
          <w:szCs w:val="24"/>
        </w:rPr>
        <w:t>oi:</w:t>
      </w:r>
      <w:proofErr w:type="gramEnd"/>
      <w:r w:rsidRPr="00924FD5">
        <w:rPr>
          <w:b w:val="0"/>
          <w:sz w:val="24"/>
          <w:szCs w:val="24"/>
        </w:rPr>
        <w:t>10.1080/10668920903029057</w:t>
      </w:r>
    </w:p>
    <w:p w:rsidR="00290B88" w:rsidRDefault="00290B88" w:rsidP="00290B88">
      <w:pPr>
        <w:rPr>
          <w:rFonts w:ascii="Times New Roman" w:hAnsi="Times New Roman" w:cs="Times New Roman"/>
          <w:sz w:val="24"/>
          <w:szCs w:val="24"/>
        </w:rPr>
      </w:pPr>
    </w:p>
    <w:p w:rsidR="00290B88" w:rsidRPr="00C60D18" w:rsidRDefault="00290B88" w:rsidP="00290B88">
      <w:pPr>
        <w:rPr>
          <w:rFonts w:ascii="Times New Roman" w:hAnsi="Times New Roman" w:cs="Times New Roman"/>
          <w:sz w:val="24"/>
          <w:szCs w:val="24"/>
        </w:rPr>
      </w:pPr>
      <w:r w:rsidRPr="00C60D18">
        <w:rPr>
          <w:rFonts w:ascii="Times New Roman" w:hAnsi="Times New Roman" w:cs="Times New Roman"/>
          <w:sz w:val="24"/>
          <w:szCs w:val="24"/>
        </w:rPr>
        <w:lastRenderedPageBreak/>
        <w:t xml:space="preserve">Although </w:t>
      </w:r>
      <w:proofErr w:type="spellStart"/>
      <w:r w:rsidRPr="00C60D18">
        <w:rPr>
          <w:rFonts w:ascii="Times New Roman" w:hAnsi="Times New Roman" w:cs="Times New Roman"/>
          <w:sz w:val="24"/>
          <w:szCs w:val="24"/>
        </w:rPr>
        <w:t>Katsinus</w:t>
      </w:r>
      <w:proofErr w:type="spellEnd"/>
      <w:r w:rsidRPr="00C60D18">
        <w:rPr>
          <w:rFonts w:ascii="Times New Roman" w:hAnsi="Times New Roman" w:cs="Times New Roman"/>
          <w:sz w:val="24"/>
          <w:szCs w:val="24"/>
        </w:rPr>
        <w:t xml:space="preserve"> et </w:t>
      </w:r>
      <w:r>
        <w:rPr>
          <w:rFonts w:ascii="Times New Roman" w:hAnsi="Times New Roman" w:cs="Times New Roman"/>
          <w:sz w:val="24"/>
          <w:szCs w:val="24"/>
        </w:rPr>
        <w:t>al</w:t>
      </w:r>
      <w:r w:rsidRPr="00C60D18">
        <w:rPr>
          <w:rFonts w:ascii="Times New Roman" w:hAnsi="Times New Roman" w:cs="Times New Roman"/>
          <w:sz w:val="24"/>
          <w:szCs w:val="24"/>
        </w:rPr>
        <w:t xml:space="preserve">. mostly focus on accreditation and </w:t>
      </w:r>
      <w:proofErr w:type="gramStart"/>
      <w:r w:rsidRPr="00C60D18">
        <w:rPr>
          <w:rFonts w:ascii="Times New Roman" w:hAnsi="Times New Roman" w:cs="Times New Roman"/>
          <w:sz w:val="24"/>
          <w:szCs w:val="24"/>
        </w:rPr>
        <w:t>collaboration,</w:t>
      </w:r>
      <w:proofErr w:type="gramEnd"/>
      <w:r w:rsidRPr="00C60D18">
        <w:rPr>
          <w:rFonts w:ascii="Times New Roman" w:hAnsi="Times New Roman" w:cs="Times New Roman"/>
          <w:sz w:val="24"/>
          <w:szCs w:val="24"/>
        </w:rPr>
        <w:t xml:space="preserve"> they make some excellent argument</w:t>
      </w:r>
      <w:r>
        <w:rPr>
          <w:rFonts w:ascii="Times New Roman" w:hAnsi="Times New Roman" w:cs="Times New Roman"/>
          <w:sz w:val="24"/>
          <w:szCs w:val="24"/>
        </w:rPr>
        <w:t>s about defining a single QEP topic in community colleges since all students come with individual contexts, such as jobs (full and part time), family obligations, and financial concerns.</w:t>
      </w:r>
    </w:p>
    <w:p w:rsidR="00290B88" w:rsidRDefault="00290B88" w:rsidP="00290B88">
      <w:pPr>
        <w:pStyle w:val="Heading2"/>
        <w:spacing w:before="0"/>
        <w:rPr>
          <w:b w:val="0"/>
          <w:bCs w:val="0"/>
          <w:sz w:val="24"/>
          <w:szCs w:val="24"/>
          <w:lang w:val="en"/>
        </w:rPr>
      </w:pPr>
    </w:p>
    <w:p w:rsidR="00290B88" w:rsidRDefault="00290B88" w:rsidP="00290B88">
      <w:pPr>
        <w:pStyle w:val="Heading2"/>
        <w:spacing w:before="0" w:beforeAutospacing="0" w:after="0" w:afterAutospacing="0"/>
        <w:rPr>
          <w:b w:val="0"/>
          <w:bCs w:val="0"/>
          <w:sz w:val="24"/>
          <w:szCs w:val="24"/>
          <w:lang w:val="en"/>
        </w:rPr>
      </w:pPr>
      <w:proofErr w:type="gramStart"/>
      <w:r>
        <w:rPr>
          <w:b w:val="0"/>
          <w:bCs w:val="0"/>
          <w:sz w:val="24"/>
          <w:szCs w:val="24"/>
          <w:lang w:val="en"/>
        </w:rPr>
        <w:t>Wake Technical Community College Foundation.</w:t>
      </w:r>
      <w:proofErr w:type="gramEnd"/>
      <w:r>
        <w:rPr>
          <w:b w:val="0"/>
          <w:bCs w:val="0"/>
          <w:sz w:val="24"/>
          <w:szCs w:val="24"/>
          <w:lang w:val="en"/>
        </w:rPr>
        <w:t xml:space="preserve">  </w:t>
      </w:r>
      <w:proofErr w:type="gramStart"/>
      <w:r>
        <w:rPr>
          <w:b w:val="0"/>
          <w:bCs w:val="0"/>
          <w:sz w:val="24"/>
          <w:szCs w:val="24"/>
          <w:lang w:val="en"/>
        </w:rPr>
        <w:t>(2011). Financial statement.</w:t>
      </w:r>
      <w:proofErr w:type="gramEnd"/>
      <w:r>
        <w:rPr>
          <w:b w:val="0"/>
          <w:bCs w:val="0"/>
          <w:sz w:val="24"/>
          <w:szCs w:val="24"/>
          <w:lang w:val="en"/>
        </w:rPr>
        <w:t xml:space="preserve"> Retrieved from </w:t>
      </w:r>
    </w:p>
    <w:p w:rsidR="00290B88" w:rsidRDefault="00290B88" w:rsidP="00290B88">
      <w:pPr>
        <w:pStyle w:val="Heading2"/>
        <w:spacing w:before="0" w:beforeAutospacing="0" w:after="0" w:afterAutospacing="0"/>
        <w:rPr>
          <w:b w:val="0"/>
          <w:bCs w:val="0"/>
          <w:sz w:val="24"/>
          <w:szCs w:val="24"/>
          <w:lang w:val="en"/>
        </w:rPr>
      </w:pPr>
      <w:r>
        <w:rPr>
          <w:b w:val="0"/>
          <w:bCs w:val="0"/>
          <w:sz w:val="24"/>
          <w:szCs w:val="24"/>
          <w:lang w:val="en"/>
        </w:rPr>
        <w:tab/>
      </w:r>
      <w:r w:rsidRPr="000226BE">
        <w:rPr>
          <w:b w:val="0"/>
          <w:bCs w:val="0"/>
          <w:sz w:val="24"/>
          <w:szCs w:val="24"/>
          <w:lang w:val="en"/>
        </w:rPr>
        <w:t>http://foundation.waketech.edu/page.aspx?pid=312</w:t>
      </w:r>
    </w:p>
    <w:p w:rsidR="00290B88" w:rsidRDefault="00290B88" w:rsidP="00290B88">
      <w:pPr>
        <w:rPr>
          <w:rFonts w:ascii="Times New Roman" w:hAnsi="Times New Roman" w:cs="Times New Roman"/>
          <w:sz w:val="24"/>
          <w:szCs w:val="24"/>
          <w:lang w:val="en"/>
        </w:rPr>
      </w:pPr>
    </w:p>
    <w:p w:rsidR="00290B88" w:rsidRPr="005F5C43" w:rsidRDefault="00290B88" w:rsidP="00290B88">
      <w:pPr>
        <w:rPr>
          <w:lang w:val="en"/>
        </w:rPr>
      </w:pPr>
      <w:r w:rsidRPr="005F5C43">
        <w:rPr>
          <w:rFonts w:ascii="Times New Roman" w:hAnsi="Times New Roman" w:cs="Times New Roman"/>
          <w:sz w:val="24"/>
          <w:szCs w:val="24"/>
          <w:lang w:val="en"/>
        </w:rPr>
        <w:t>The Wake Tech Foundation website describes its mission statement and openly provides information to the public about its programs, its available aid to students, its board of trustees, and its financial statements</w:t>
      </w:r>
      <w:r>
        <w:rPr>
          <w:lang w:val="en"/>
        </w:rPr>
        <w:t>.</w:t>
      </w:r>
    </w:p>
    <w:p w:rsidR="00290B88" w:rsidRDefault="00290B88" w:rsidP="00290B88">
      <w:pPr>
        <w:rPr>
          <w:lang w:val="en"/>
        </w:rPr>
      </w:pPr>
    </w:p>
    <w:p w:rsidR="00290B88" w:rsidRDefault="00290B88" w:rsidP="00290B88">
      <w:pPr>
        <w:spacing w:after="0"/>
        <w:rPr>
          <w:rFonts w:ascii="Times New Roman" w:hAnsi="Times New Roman" w:cs="Times New Roman"/>
          <w:i/>
          <w:sz w:val="24"/>
          <w:szCs w:val="24"/>
          <w:lang w:val="en"/>
        </w:rPr>
      </w:pPr>
      <w:proofErr w:type="spellStart"/>
      <w:r w:rsidRPr="00933B0B">
        <w:rPr>
          <w:rFonts w:ascii="Times New Roman" w:hAnsi="Times New Roman" w:cs="Times New Roman"/>
          <w:sz w:val="24"/>
          <w:szCs w:val="24"/>
          <w:lang w:val="en"/>
        </w:rPr>
        <w:t>We</w:t>
      </w:r>
      <w:r>
        <w:rPr>
          <w:rFonts w:ascii="Times New Roman" w:hAnsi="Times New Roman" w:cs="Times New Roman"/>
          <w:sz w:val="24"/>
          <w:szCs w:val="24"/>
          <w:lang w:val="en"/>
        </w:rPr>
        <w:t>tzler</w:t>
      </w:r>
      <w:proofErr w:type="spellEnd"/>
      <w:r>
        <w:rPr>
          <w:rFonts w:ascii="Times New Roman" w:hAnsi="Times New Roman" w:cs="Times New Roman"/>
          <w:sz w:val="24"/>
          <w:szCs w:val="24"/>
          <w:lang w:val="en"/>
        </w:rPr>
        <w:t xml:space="preserve">, J. (2010). </w:t>
      </w:r>
      <w:proofErr w:type="gramStart"/>
      <w:r>
        <w:rPr>
          <w:rFonts w:ascii="Times New Roman" w:hAnsi="Times New Roman" w:cs="Times New Roman"/>
          <w:sz w:val="24"/>
          <w:szCs w:val="24"/>
          <w:lang w:val="en"/>
        </w:rPr>
        <w:t>Developing teachers as leaders.</w:t>
      </w:r>
      <w:proofErr w:type="gramEnd"/>
      <w:r>
        <w:rPr>
          <w:rFonts w:ascii="Times New Roman" w:hAnsi="Times New Roman" w:cs="Times New Roman"/>
          <w:sz w:val="24"/>
          <w:szCs w:val="24"/>
          <w:lang w:val="en"/>
        </w:rPr>
        <w:t xml:space="preserve"> </w:t>
      </w:r>
      <w:r w:rsidRPr="00933B0B">
        <w:rPr>
          <w:rFonts w:ascii="Times New Roman" w:hAnsi="Times New Roman" w:cs="Times New Roman"/>
          <w:i/>
          <w:sz w:val="24"/>
          <w:szCs w:val="24"/>
          <w:lang w:val="en"/>
        </w:rPr>
        <w:t xml:space="preserve">Change: The Magazine of Higher Learning, </w:t>
      </w:r>
    </w:p>
    <w:p w:rsidR="00290B88" w:rsidRDefault="00290B88" w:rsidP="00290B88">
      <w:pPr>
        <w:spacing w:after="0"/>
        <w:rPr>
          <w:rFonts w:ascii="Times New Roman" w:eastAsia="Times New Roman" w:hAnsi="Times New Roman" w:cs="Times New Roman"/>
          <w:sz w:val="24"/>
          <w:szCs w:val="24"/>
          <w:lang w:val="en"/>
        </w:rPr>
      </w:pPr>
      <w:r>
        <w:rPr>
          <w:rFonts w:ascii="Times New Roman" w:hAnsi="Times New Roman" w:cs="Times New Roman"/>
          <w:i/>
          <w:sz w:val="24"/>
          <w:szCs w:val="24"/>
          <w:lang w:val="en"/>
        </w:rPr>
        <w:tab/>
      </w:r>
      <w:r w:rsidRPr="00933B0B">
        <w:rPr>
          <w:rFonts w:ascii="Times New Roman" w:hAnsi="Times New Roman" w:cs="Times New Roman"/>
          <w:i/>
          <w:sz w:val="24"/>
          <w:szCs w:val="24"/>
          <w:lang w:val="en"/>
        </w:rPr>
        <w:t>42</w:t>
      </w:r>
      <w:r>
        <w:rPr>
          <w:rFonts w:ascii="Times New Roman" w:hAnsi="Times New Roman" w:cs="Times New Roman"/>
          <w:sz w:val="24"/>
          <w:szCs w:val="24"/>
          <w:lang w:val="en"/>
        </w:rPr>
        <w:t xml:space="preserve">(6), 25-32. </w:t>
      </w:r>
      <w:proofErr w:type="spellStart"/>
      <w:proofErr w:type="gramStart"/>
      <w:r>
        <w:rPr>
          <w:rFonts w:ascii="Times New Roman" w:hAnsi="Times New Roman" w:cs="Times New Roman"/>
          <w:sz w:val="24"/>
          <w:szCs w:val="24"/>
          <w:lang w:val="en"/>
        </w:rPr>
        <w:t>doi</w:t>
      </w:r>
      <w:proofErr w:type="spellEnd"/>
      <w:proofErr w:type="gramEnd"/>
      <w:r>
        <w:rPr>
          <w:rFonts w:ascii="Times New Roman" w:hAnsi="Times New Roman" w:cs="Times New Roman"/>
          <w:sz w:val="24"/>
          <w:szCs w:val="24"/>
          <w:lang w:val="en"/>
        </w:rPr>
        <w:t xml:space="preserve">: </w:t>
      </w:r>
      <w:r w:rsidRPr="000F2595">
        <w:rPr>
          <w:rFonts w:ascii="Times New Roman" w:eastAsia="Times New Roman" w:hAnsi="Times New Roman" w:cs="Times New Roman"/>
          <w:sz w:val="24"/>
          <w:szCs w:val="24"/>
          <w:lang w:val="en"/>
        </w:rPr>
        <w:t>10.1080/00091383.2010.523403</w:t>
      </w:r>
    </w:p>
    <w:p w:rsidR="00290B88" w:rsidRDefault="00290B88" w:rsidP="00290B88">
      <w:pPr>
        <w:spacing w:after="0"/>
        <w:rPr>
          <w:rFonts w:ascii="Times New Roman" w:eastAsia="Times New Roman" w:hAnsi="Times New Roman" w:cs="Times New Roman"/>
          <w:sz w:val="24"/>
          <w:szCs w:val="24"/>
          <w:lang w:val="en"/>
        </w:rPr>
      </w:pPr>
    </w:p>
    <w:p w:rsidR="00290B88" w:rsidRDefault="00290B88" w:rsidP="00290B88">
      <w:pPr>
        <w:spacing w:after="0"/>
      </w:pPr>
      <w:proofErr w:type="spellStart"/>
      <w:r>
        <w:rPr>
          <w:rFonts w:ascii="Times New Roman" w:eastAsia="Times New Roman" w:hAnsi="Times New Roman" w:cs="Times New Roman"/>
          <w:sz w:val="24"/>
          <w:szCs w:val="24"/>
          <w:lang w:val="en"/>
        </w:rPr>
        <w:t>Wetzler</w:t>
      </w:r>
      <w:proofErr w:type="spellEnd"/>
      <w:r>
        <w:rPr>
          <w:rFonts w:ascii="Times New Roman" w:eastAsia="Times New Roman" w:hAnsi="Times New Roman" w:cs="Times New Roman"/>
          <w:sz w:val="24"/>
          <w:szCs w:val="24"/>
          <w:lang w:val="en"/>
        </w:rPr>
        <w:t xml:space="preserve"> documents the experiences of a Teach for America teacher and her experience with teacher leadership. He recommends that all teachers become leaders by setting big goals, getting students on board with the goals, planning with a purpose, constantly evaluating and increasing effectiveness, and working tirelessly for the better good.</w:t>
      </w:r>
    </w:p>
    <w:p w:rsidR="00E67DCE" w:rsidRDefault="00535EDB" w:rsidP="00C60ABD">
      <w:pPr>
        <w:spacing w:line="480" w:lineRule="auto"/>
      </w:pPr>
    </w:p>
    <w:sectPr w:rsidR="00E67DC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EDB" w:rsidRDefault="00535EDB" w:rsidP="0005567F">
      <w:pPr>
        <w:spacing w:after="0" w:line="240" w:lineRule="auto"/>
      </w:pPr>
      <w:r>
        <w:separator/>
      </w:r>
    </w:p>
  </w:endnote>
  <w:endnote w:type="continuationSeparator" w:id="0">
    <w:p w:rsidR="00535EDB" w:rsidRDefault="00535EDB" w:rsidP="00055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EDB" w:rsidRDefault="00535EDB" w:rsidP="0005567F">
      <w:pPr>
        <w:spacing w:after="0" w:line="240" w:lineRule="auto"/>
      </w:pPr>
      <w:r>
        <w:separator/>
      </w:r>
    </w:p>
  </w:footnote>
  <w:footnote w:type="continuationSeparator" w:id="0">
    <w:p w:rsidR="00535EDB" w:rsidRDefault="00535EDB" w:rsidP="00055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712568844"/>
      <w:docPartObj>
        <w:docPartGallery w:val="Page Numbers (Top of Page)"/>
        <w:docPartUnique/>
      </w:docPartObj>
    </w:sdtPr>
    <w:sdtEndPr>
      <w:rPr>
        <w:rFonts w:asciiTheme="minorHAnsi" w:hAnsiTheme="minorHAnsi" w:cstheme="minorBidi"/>
        <w:noProof/>
        <w:sz w:val="22"/>
        <w:szCs w:val="22"/>
      </w:rPr>
    </w:sdtEndPr>
    <w:sdtContent>
      <w:p w:rsidR="0005567F" w:rsidRDefault="0005567F">
        <w:pPr>
          <w:pStyle w:val="Header"/>
          <w:jc w:val="right"/>
        </w:pPr>
        <w:r w:rsidRPr="0005567F">
          <w:rPr>
            <w:rFonts w:ascii="Times New Roman" w:hAnsi="Times New Roman" w:cs="Times New Roman"/>
            <w:sz w:val="24"/>
            <w:szCs w:val="24"/>
          </w:rPr>
          <w:t xml:space="preserve">Cunningham </w:t>
        </w:r>
        <w:r w:rsidRPr="0005567F">
          <w:rPr>
            <w:rFonts w:ascii="Times New Roman" w:hAnsi="Times New Roman" w:cs="Times New Roman"/>
            <w:sz w:val="24"/>
            <w:szCs w:val="24"/>
          </w:rPr>
          <w:fldChar w:fldCharType="begin"/>
        </w:r>
        <w:r w:rsidRPr="0005567F">
          <w:rPr>
            <w:rFonts w:ascii="Times New Roman" w:hAnsi="Times New Roman" w:cs="Times New Roman"/>
            <w:sz w:val="24"/>
            <w:szCs w:val="24"/>
          </w:rPr>
          <w:instrText xml:space="preserve"> PAGE   \* MERGEFORMAT </w:instrText>
        </w:r>
        <w:r w:rsidRPr="0005567F">
          <w:rPr>
            <w:rFonts w:ascii="Times New Roman" w:hAnsi="Times New Roman" w:cs="Times New Roman"/>
            <w:sz w:val="24"/>
            <w:szCs w:val="24"/>
          </w:rPr>
          <w:fldChar w:fldCharType="separate"/>
        </w:r>
        <w:r w:rsidR="001E79C3">
          <w:rPr>
            <w:rFonts w:ascii="Times New Roman" w:hAnsi="Times New Roman" w:cs="Times New Roman"/>
            <w:noProof/>
            <w:sz w:val="24"/>
            <w:szCs w:val="24"/>
          </w:rPr>
          <w:t>1</w:t>
        </w:r>
        <w:r w:rsidRPr="0005567F">
          <w:rPr>
            <w:rFonts w:ascii="Times New Roman" w:hAnsi="Times New Roman" w:cs="Times New Roman"/>
            <w:noProof/>
            <w:sz w:val="24"/>
            <w:szCs w:val="24"/>
          </w:rPr>
          <w:fldChar w:fldCharType="end"/>
        </w:r>
      </w:p>
    </w:sdtContent>
  </w:sdt>
  <w:p w:rsidR="0005567F" w:rsidRDefault="000556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B1"/>
    <w:rsid w:val="00022E7D"/>
    <w:rsid w:val="0003356E"/>
    <w:rsid w:val="00035512"/>
    <w:rsid w:val="0005567F"/>
    <w:rsid w:val="000629C8"/>
    <w:rsid w:val="000A0ADC"/>
    <w:rsid w:val="000C406B"/>
    <w:rsid w:val="000D231C"/>
    <w:rsid w:val="000D4D26"/>
    <w:rsid w:val="00105AB1"/>
    <w:rsid w:val="00133628"/>
    <w:rsid w:val="00144230"/>
    <w:rsid w:val="00150C5C"/>
    <w:rsid w:val="00167ADE"/>
    <w:rsid w:val="0019525D"/>
    <w:rsid w:val="001A4933"/>
    <w:rsid w:val="001E79C3"/>
    <w:rsid w:val="0020144B"/>
    <w:rsid w:val="002236DB"/>
    <w:rsid w:val="0025323E"/>
    <w:rsid w:val="00272CDD"/>
    <w:rsid w:val="00290B88"/>
    <w:rsid w:val="002A7806"/>
    <w:rsid w:val="002B291C"/>
    <w:rsid w:val="002C3739"/>
    <w:rsid w:val="002E7703"/>
    <w:rsid w:val="002F50D7"/>
    <w:rsid w:val="00313C24"/>
    <w:rsid w:val="0033558E"/>
    <w:rsid w:val="00343867"/>
    <w:rsid w:val="00357631"/>
    <w:rsid w:val="003678A6"/>
    <w:rsid w:val="003C3F02"/>
    <w:rsid w:val="003D336B"/>
    <w:rsid w:val="003F2B93"/>
    <w:rsid w:val="00431A69"/>
    <w:rsid w:val="00432C70"/>
    <w:rsid w:val="00451E4D"/>
    <w:rsid w:val="004624A9"/>
    <w:rsid w:val="00463F13"/>
    <w:rsid w:val="004643F4"/>
    <w:rsid w:val="00491726"/>
    <w:rsid w:val="004A7BA3"/>
    <w:rsid w:val="004D58A9"/>
    <w:rsid w:val="004E60FC"/>
    <w:rsid w:val="0050773D"/>
    <w:rsid w:val="00535EDB"/>
    <w:rsid w:val="00540640"/>
    <w:rsid w:val="00584055"/>
    <w:rsid w:val="005D28A4"/>
    <w:rsid w:val="00631A3A"/>
    <w:rsid w:val="00652FCC"/>
    <w:rsid w:val="006530B5"/>
    <w:rsid w:val="006719F2"/>
    <w:rsid w:val="00695386"/>
    <w:rsid w:val="006B5739"/>
    <w:rsid w:val="006C76A8"/>
    <w:rsid w:val="006E5CAB"/>
    <w:rsid w:val="006F1FE9"/>
    <w:rsid w:val="007012EB"/>
    <w:rsid w:val="00704B53"/>
    <w:rsid w:val="00714B62"/>
    <w:rsid w:val="00725052"/>
    <w:rsid w:val="0073779B"/>
    <w:rsid w:val="00742574"/>
    <w:rsid w:val="007664B7"/>
    <w:rsid w:val="00771CDA"/>
    <w:rsid w:val="007817AD"/>
    <w:rsid w:val="00781847"/>
    <w:rsid w:val="007E68E2"/>
    <w:rsid w:val="007F6416"/>
    <w:rsid w:val="00837ADF"/>
    <w:rsid w:val="00854C76"/>
    <w:rsid w:val="00867906"/>
    <w:rsid w:val="008C0777"/>
    <w:rsid w:val="008E4B50"/>
    <w:rsid w:val="008F7732"/>
    <w:rsid w:val="00924C2B"/>
    <w:rsid w:val="0093721F"/>
    <w:rsid w:val="00985E8B"/>
    <w:rsid w:val="009877F6"/>
    <w:rsid w:val="009A7628"/>
    <w:rsid w:val="009E0DEB"/>
    <w:rsid w:val="009F2E92"/>
    <w:rsid w:val="00A17C52"/>
    <w:rsid w:val="00A41858"/>
    <w:rsid w:val="00A87D67"/>
    <w:rsid w:val="00AE472E"/>
    <w:rsid w:val="00AF044D"/>
    <w:rsid w:val="00B00C90"/>
    <w:rsid w:val="00B34825"/>
    <w:rsid w:val="00B36FFD"/>
    <w:rsid w:val="00B52DD9"/>
    <w:rsid w:val="00B65051"/>
    <w:rsid w:val="00B87D30"/>
    <w:rsid w:val="00B96F48"/>
    <w:rsid w:val="00BD2532"/>
    <w:rsid w:val="00BD6E1B"/>
    <w:rsid w:val="00BE52E7"/>
    <w:rsid w:val="00BF6E49"/>
    <w:rsid w:val="00C16320"/>
    <w:rsid w:val="00C34337"/>
    <w:rsid w:val="00C60ABD"/>
    <w:rsid w:val="00C75E53"/>
    <w:rsid w:val="00C76577"/>
    <w:rsid w:val="00D20BFC"/>
    <w:rsid w:val="00D234CA"/>
    <w:rsid w:val="00D238DB"/>
    <w:rsid w:val="00D855E2"/>
    <w:rsid w:val="00DC73EA"/>
    <w:rsid w:val="00DE035B"/>
    <w:rsid w:val="00DE23D0"/>
    <w:rsid w:val="00E12BD5"/>
    <w:rsid w:val="00E34AAC"/>
    <w:rsid w:val="00E42CF6"/>
    <w:rsid w:val="00E54996"/>
    <w:rsid w:val="00E673F5"/>
    <w:rsid w:val="00EB012E"/>
    <w:rsid w:val="00ED07BD"/>
    <w:rsid w:val="00F40902"/>
    <w:rsid w:val="00F76E86"/>
    <w:rsid w:val="00F86557"/>
    <w:rsid w:val="00FB4F54"/>
    <w:rsid w:val="00FE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49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77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7F"/>
  </w:style>
  <w:style w:type="paragraph" w:styleId="Footer">
    <w:name w:val="footer"/>
    <w:basedOn w:val="Normal"/>
    <w:link w:val="FooterChar"/>
    <w:uiPriority w:val="99"/>
    <w:unhideWhenUsed/>
    <w:rsid w:val="00055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7F"/>
  </w:style>
  <w:style w:type="character" w:customStyle="1" w:styleId="Heading2Char">
    <w:name w:val="Heading 2 Char"/>
    <w:basedOn w:val="DefaultParagraphFont"/>
    <w:link w:val="Heading2"/>
    <w:uiPriority w:val="9"/>
    <w:rsid w:val="0050773D"/>
    <w:rPr>
      <w:rFonts w:ascii="Times New Roman" w:eastAsia="Times New Roman" w:hAnsi="Times New Roman" w:cs="Times New Roman"/>
      <w:b/>
      <w:bCs/>
      <w:sz w:val="36"/>
      <w:szCs w:val="36"/>
    </w:rPr>
  </w:style>
  <w:style w:type="character" w:styleId="Strong">
    <w:name w:val="Strong"/>
    <w:basedOn w:val="DefaultParagraphFont"/>
    <w:uiPriority w:val="22"/>
    <w:qFormat/>
    <w:rsid w:val="0050773D"/>
    <w:rPr>
      <w:b/>
      <w:bCs/>
    </w:rPr>
  </w:style>
  <w:style w:type="paragraph" w:styleId="NormalWeb">
    <w:name w:val="Normal (Web)"/>
    <w:basedOn w:val="Normal"/>
    <w:uiPriority w:val="99"/>
    <w:semiHidden/>
    <w:unhideWhenUsed/>
    <w:rsid w:val="0050773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E6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A493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A4933"/>
    <w:rPr>
      <w:color w:val="0000FF"/>
      <w:u w:val="single"/>
    </w:rPr>
  </w:style>
  <w:style w:type="paragraph" w:customStyle="1" w:styleId="body-paragraph">
    <w:name w:val="body-paragraph"/>
    <w:basedOn w:val="Normal"/>
    <w:rsid w:val="001A49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cationtitle">
    <w:name w:val="publicationtitle"/>
    <w:basedOn w:val="DefaultParagraphFont"/>
    <w:rsid w:val="001A4933"/>
  </w:style>
  <w:style w:type="paragraph" w:customStyle="1" w:styleId="byline">
    <w:name w:val="byline"/>
    <w:basedOn w:val="Normal"/>
    <w:rsid w:val="001A493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49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77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7F"/>
  </w:style>
  <w:style w:type="paragraph" w:styleId="Footer">
    <w:name w:val="footer"/>
    <w:basedOn w:val="Normal"/>
    <w:link w:val="FooterChar"/>
    <w:uiPriority w:val="99"/>
    <w:unhideWhenUsed/>
    <w:rsid w:val="00055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7F"/>
  </w:style>
  <w:style w:type="character" w:customStyle="1" w:styleId="Heading2Char">
    <w:name w:val="Heading 2 Char"/>
    <w:basedOn w:val="DefaultParagraphFont"/>
    <w:link w:val="Heading2"/>
    <w:uiPriority w:val="9"/>
    <w:rsid w:val="0050773D"/>
    <w:rPr>
      <w:rFonts w:ascii="Times New Roman" w:eastAsia="Times New Roman" w:hAnsi="Times New Roman" w:cs="Times New Roman"/>
      <w:b/>
      <w:bCs/>
      <w:sz w:val="36"/>
      <w:szCs w:val="36"/>
    </w:rPr>
  </w:style>
  <w:style w:type="character" w:styleId="Strong">
    <w:name w:val="Strong"/>
    <w:basedOn w:val="DefaultParagraphFont"/>
    <w:uiPriority w:val="22"/>
    <w:qFormat/>
    <w:rsid w:val="0050773D"/>
    <w:rPr>
      <w:b/>
      <w:bCs/>
    </w:rPr>
  </w:style>
  <w:style w:type="paragraph" w:styleId="NormalWeb">
    <w:name w:val="Normal (Web)"/>
    <w:basedOn w:val="Normal"/>
    <w:uiPriority w:val="99"/>
    <w:semiHidden/>
    <w:unhideWhenUsed/>
    <w:rsid w:val="0050773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E6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A493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A4933"/>
    <w:rPr>
      <w:color w:val="0000FF"/>
      <w:u w:val="single"/>
    </w:rPr>
  </w:style>
  <w:style w:type="paragraph" w:customStyle="1" w:styleId="body-paragraph">
    <w:name w:val="body-paragraph"/>
    <w:basedOn w:val="Normal"/>
    <w:rsid w:val="001A49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cationtitle">
    <w:name w:val="publicationtitle"/>
    <w:basedOn w:val="DefaultParagraphFont"/>
    <w:rsid w:val="001A4933"/>
  </w:style>
  <w:style w:type="paragraph" w:customStyle="1" w:styleId="byline">
    <w:name w:val="byline"/>
    <w:basedOn w:val="Normal"/>
    <w:rsid w:val="001A49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865264">
      <w:bodyDiv w:val="1"/>
      <w:marLeft w:val="0"/>
      <w:marRight w:val="0"/>
      <w:marTop w:val="0"/>
      <w:marBottom w:val="0"/>
      <w:divBdr>
        <w:top w:val="none" w:sz="0" w:space="0" w:color="auto"/>
        <w:left w:val="none" w:sz="0" w:space="0" w:color="auto"/>
        <w:bottom w:val="none" w:sz="0" w:space="0" w:color="auto"/>
        <w:right w:val="none" w:sz="0" w:space="0" w:color="auto"/>
      </w:divBdr>
      <w:divsChild>
        <w:div w:id="1528521139">
          <w:marLeft w:val="0"/>
          <w:marRight w:val="0"/>
          <w:marTop w:val="0"/>
          <w:marBottom w:val="0"/>
          <w:divBdr>
            <w:top w:val="none" w:sz="0" w:space="0" w:color="auto"/>
            <w:left w:val="none" w:sz="0" w:space="0" w:color="auto"/>
            <w:bottom w:val="none" w:sz="0" w:space="0" w:color="auto"/>
            <w:right w:val="none" w:sz="0" w:space="0" w:color="auto"/>
          </w:divBdr>
          <w:divsChild>
            <w:div w:id="2020888227">
              <w:marLeft w:val="0"/>
              <w:marRight w:val="0"/>
              <w:marTop w:val="0"/>
              <w:marBottom w:val="0"/>
              <w:divBdr>
                <w:top w:val="none" w:sz="0" w:space="0" w:color="auto"/>
                <w:left w:val="none" w:sz="0" w:space="0" w:color="auto"/>
                <w:bottom w:val="none" w:sz="0" w:space="0" w:color="auto"/>
                <w:right w:val="none" w:sz="0" w:space="0" w:color="auto"/>
              </w:divBdr>
              <w:divsChild>
                <w:div w:id="742146369">
                  <w:marLeft w:val="0"/>
                  <w:marRight w:val="0"/>
                  <w:marTop w:val="0"/>
                  <w:marBottom w:val="0"/>
                  <w:divBdr>
                    <w:top w:val="none" w:sz="0" w:space="0" w:color="auto"/>
                    <w:left w:val="none" w:sz="0" w:space="0" w:color="auto"/>
                    <w:bottom w:val="none" w:sz="0" w:space="0" w:color="auto"/>
                    <w:right w:val="none" w:sz="0" w:space="0" w:color="auto"/>
                  </w:divBdr>
                  <w:divsChild>
                    <w:div w:id="1900894519">
                      <w:marLeft w:val="0"/>
                      <w:marRight w:val="0"/>
                      <w:marTop w:val="0"/>
                      <w:marBottom w:val="0"/>
                      <w:divBdr>
                        <w:top w:val="none" w:sz="0" w:space="0" w:color="auto"/>
                        <w:left w:val="none" w:sz="0" w:space="0" w:color="auto"/>
                        <w:bottom w:val="none" w:sz="0" w:space="0" w:color="auto"/>
                        <w:right w:val="none" w:sz="0" w:space="0" w:color="auto"/>
                      </w:divBdr>
                      <w:divsChild>
                        <w:div w:id="1331639192">
                          <w:marLeft w:val="0"/>
                          <w:marRight w:val="0"/>
                          <w:marTop w:val="0"/>
                          <w:marBottom w:val="0"/>
                          <w:divBdr>
                            <w:top w:val="none" w:sz="0" w:space="0" w:color="auto"/>
                            <w:left w:val="none" w:sz="0" w:space="0" w:color="auto"/>
                            <w:bottom w:val="none" w:sz="0" w:space="0" w:color="auto"/>
                            <w:right w:val="none" w:sz="0" w:space="0" w:color="auto"/>
                          </w:divBdr>
                          <w:divsChild>
                            <w:div w:id="2128427191">
                              <w:marLeft w:val="0"/>
                              <w:marRight w:val="0"/>
                              <w:marTop w:val="0"/>
                              <w:marBottom w:val="0"/>
                              <w:divBdr>
                                <w:top w:val="none" w:sz="0" w:space="0" w:color="auto"/>
                                <w:left w:val="none" w:sz="0" w:space="0" w:color="auto"/>
                                <w:bottom w:val="none" w:sz="0" w:space="0" w:color="auto"/>
                                <w:right w:val="none" w:sz="0" w:space="0" w:color="auto"/>
                              </w:divBdr>
                              <w:divsChild>
                                <w:div w:id="1120298828">
                                  <w:marLeft w:val="0"/>
                                  <w:marRight w:val="0"/>
                                  <w:marTop w:val="0"/>
                                  <w:marBottom w:val="0"/>
                                  <w:divBdr>
                                    <w:top w:val="none" w:sz="0" w:space="0" w:color="auto"/>
                                    <w:left w:val="none" w:sz="0" w:space="0" w:color="auto"/>
                                    <w:bottom w:val="none" w:sz="0" w:space="0" w:color="auto"/>
                                    <w:right w:val="none" w:sz="0" w:space="0" w:color="auto"/>
                                  </w:divBdr>
                                  <w:divsChild>
                                    <w:div w:id="2076006114">
                                      <w:marLeft w:val="0"/>
                                      <w:marRight w:val="0"/>
                                      <w:marTop w:val="0"/>
                                      <w:marBottom w:val="0"/>
                                      <w:divBdr>
                                        <w:top w:val="none" w:sz="0" w:space="0" w:color="auto"/>
                                        <w:left w:val="none" w:sz="0" w:space="0" w:color="auto"/>
                                        <w:bottom w:val="none" w:sz="0" w:space="0" w:color="auto"/>
                                        <w:right w:val="none" w:sz="0" w:space="0" w:color="auto"/>
                                      </w:divBdr>
                                      <w:divsChild>
                                        <w:div w:id="1012531296">
                                          <w:marLeft w:val="0"/>
                                          <w:marRight w:val="0"/>
                                          <w:marTop w:val="0"/>
                                          <w:marBottom w:val="0"/>
                                          <w:divBdr>
                                            <w:top w:val="none" w:sz="0" w:space="0" w:color="auto"/>
                                            <w:left w:val="none" w:sz="0" w:space="0" w:color="auto"/>
                                            <w:bottom w:val="none" w:sz="0" w:space="0" w:color="auto"/>
                                            <w:right w:val="none" w:sz="0" w:space="0" w:color="auto"/>
                                          </w:divBdr>
                                          <w:divsChild>
                                            <w:div w:id="153497324">
                                              <w:marLeft w:val="0"/>
                                              <w:marRight w:val="0"/>
                                              <w:marTop w:val="0"/>
                                              <w:marBottom w:val="0"/>
                                              <w:divBdr>
                                                <w:top w:val="none" w:sz="0" w:space="0" w:color="auto"/>
                                                <w:left w:val="none" w:sz="0" w:space="0" w:color="auto"/>
                                                <w:bottom w:val="none" w:sz="0" w:space="0" w:color="auto"/>
                                                <w:right w:val="none" w:sz="0" w:space="0" w:color="auto"/>
                                              </w:divBdr>
                                              <w:divsChild>
                                                <w:div w:id="512691721">
                                                  <w:marLeft w:val="0"/>
                                                  <w:marRight w:val="0"/>
                                                  <w:marTop w:val="0"/>
                                                  <w:marBottom w:val="0"/>
                                                  <w:divBdr>
                                                    <w:top w:val="none" w:sz="0" w:space="0" w:color="auto"/>
                                                    <w:left w:val="none" w:sz="0" w:space="0" w:color="auto"/>
                                                    <w:bottom w:val="none" w:sz="0" w:space="0" w:color="auto"/>
                                                    <w:right w:val="none" w:sz="0" w:space="0" w:color="auto"/>
                                                  </w:divBdr>
                                                  <w:divsChild>
                                                    <w:div w:id="2034763200">
                                                      <w:marLeft w:val="0"/>
                                                      <w:marRight w:val="0"/>
                                                      <w:marTop w:val="0"/>
                                                      <w:marBottom w:val="0"/>
                                                      <w:divBdr>
                                                        <w:top w:val="none" w:sz="0" w:space="0" w:color="auto"/>
                                                        <w:left w:val="none" w:sz="0" w:space="0" w:color="auto"/>
                                                        <w:bottom w:val="none" w:sz="0" w:space="0" w:color="auto"/>
                                                        <w:right w:val="none" w:sz="0" w:space="0" w:color="auto"/>
                                                      </w:divBdr>
                                                      <w:divsChild>
                                                        <w:div w:id="1830321964">
                                                          <w:marLeft w:val="0"/>
                                                          <w:marRight w:val="0"/>
                                                          <w:marTop w:val="0"/>
                                                          <w:marBottom w:val="0"/>
                                                          <w:divBdr>
                                                            <w:top w:val="none" w:sz="0" w:space="0" w:color="auto"/>
                                                            <w:left w:val="none" w:sz="0" w:space="0" w:color="auto"/>
                                                            <w:bottom w:val="none" w:sz="0" w:space="0" w:color="auto"/>
                                                            <w:right w:val="none" w:sz="0" w:space="0" w:color="auto"/>
                                                          </w:divBdr>
                                                          <w:divsChild>
                                                            <w:div w:id="1843930721">
                                                              <w:marLeft w:val="0"/>
                                                              <w:marRight w:val="0"/>
                                                              <w:marTop w:val="0"/>
                                                              <w:marBottom w:val="0"/>
                                                              <w:divBdr>
                                                                <w:top w:val="none" w:sz="0" w:space="0" w:color="auto"/>
                                                                <w:left w:val="none" w:sz="0" w:space="0" w:color="auto"/>
                                                                <w:bottom w:val="none" w:sz="0" w:space="0" w:color="auto"/>
                                                                <w:right w:val="none" w:sz="0" w:space="0" w:color="auto"/>
                                                              </w:divBdr>
                                                              <w:divsChild>
                                                                <w:div w:id="970553134">
                                                                  <w:marLeft w:val="0"/>
                                                                  <w:marRight w:val="0"/>
                                                                  <w:marTop w:val="0"/>
                                                                  <w:marBottom w:val="0"/>
                                                                  <w:divBdr>
                                                                    <w:top w:val="none" w:sz="0" w:space="0" w:color="auto"/>
                                                                    <w:left w:val="none" w:sz="0" w:space="0" w:color="auto"/>
                                                                    <w:bottom w:val="none" w:sz="0" w:space="0" w:color="auto"/>
                                                                    <w:right w:val="none" w:sz="0" w:space="0" w:color="auto"/>
                                                                  </w:divBdr>
                                                                </w:div>
                                                                <w:div w:id="1057895948">
                                                                  <w:marLeft w:val="0"/>
                                                                  <w:marRight w:val="0"/>
                                                                  <w:marTop w:val="0"/>
                                                                  <w:marBottom w:val="0"/>
                                                                  <w:divBdr>
                                                                    <w:top w:val="none" w:sz="0" w:space="0" w:color="auto"/>
                                                                    <w:left w:val="none" w:sz="0" w:space="0" w:color="auto"/>
                                                                    <w:bottom w:val="none" w:sz="0" w:space="0" w:color="auto"/>
                                                                    <w:right w:val="none" w:sz="0" w:space="0" w:color="auto"/>
                                                                  </w:divBdr>
                                                                </w:div>
                                                                <w:div w:id="157430152">
                                                                  <w:marLeft w:val="0"/>
                                                                  <w:marRight w:val="0"/>
                                                                  <w:marTop w:val="0"/>
                                                                  <w:marBottom w:val="0"/>
                                                                  <w:divBdr>
                                                                    <w:top w:val="none" w:sz="0" w:space="0" w:color="auto"/>
                                                                    <w:left w:val="none" w:sz="0" w:space="0" w:color="auto"/>
                                                                    <w:bottom w:val="none" w:sz="0" w:space="0" w:color="auto"/>
                                                                    <w:right w:val="none" w:sz="0" w:space="0" w:color="auto"/>
                                                                  </w:divBdr>
                                                                </w:div>
                                                                <w:div w:id="9919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052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ronicle.com/article/Community-College-Dropouts/129475/" TargetMode="External"/><Relationship Id="rId3" Type="http://schemas.openxmlformats.org/officeDocument/2006/relationships/settings" Target="settings.xml"/><Relationship Id="rId7" Type="http://schemas.openxmlformats.org/officeDocument/2006/relationships/hyperlink" Target="http://www.iel.org/pubs/publicpolicy.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3415</Words>
  <Characters>19466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Wake Technical Community College</Company>
  <LinksUpToDate>false</LinksUpToDate>
  <CharactersWithSpaces>22836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2</cp:revision>
  <dcterms:created xsi:type="dcterms:W3CDTF">2012-05-01T11:29:00Z</dcterms:created>
  <dcterms:modified xsi:type="dcterms:W3CDTF">2012-05-01T11:29:00Z</dcterms:modified>
</cp:coreProperties>
</file>